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E071A56">
          <w:pPr>
            <w:spacing w:line="240" w:lineRule="auto"/>
            <w:jc w:val="center"/>
            <w:rPr>
              <w:rFonts w:hint="eastAsia" w:ascii="微软雅黑" w:hAnsi="微软雅黑" w:eastAsia="微软雅黑" w:cs="微软雅黑"/>
              <w:b/>
              <w:bCs/>
              <w:sz w:val="56"/>
              <w:szCs w:val="56"/>
              <w:highlight w:val="none"/>
              <w:lang w:val="en-US" w:eastAsia="zh-CN"/>
            </w:rPr>
          </w:pPr>
          <w:bookmarkStart w:id="0" w:name="_Toc245092759"/>
          <w:bookmarkStart w:id="1" w:name="_Toc328559326"/>
          <w:bookmarkStart w:id="2" w:name="_Toc273602339"/>
          <w:r>
            <w:rPr>
              <w:rFonts w:hint="eastAsia" w:ascii="微软雅黑" w:hAnsi="微软雅黑" w:eastAsia="微软雅黑" w:cs="微软雅黑"/>
              <w:b/>
              <w:bCs/>
              <w:sz w:val="56"/>
              <w:szCs w:val="56"/>
              <w:highlight w:val="none"/>
              <w:lang w:val="en-US" w:eastAsia="zh-CN"/>
            </w:rPr>
            <w:t>芜湖老船厂1900项目2#和10#地块</w:t>
          </w:r>
        </w:p>
        <w:p w14:paraId="3EC20F31">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lang w:val="en-US" w:eastAsia="zh-CN"/>
            </w:rPr>
            <w:t>临时变压器</w:t>
          </w:r>
          <w:r>
            <w:rPr>
              <w:rFonts w:hint="eastAsia" w:ascii="微软雅黑" w:hAnsi="微软雅黑" w:eastAsia="微软雅黑" w:cs="微软雅黑"/>
              <w:b/>
              <w:bCs/>
              <w:sz w:val="56"/>
              <w:szCs w:val="56"/>
              <w:highlight w:val="none"/>
            </w:rPr>
            <w:t>处置</w:t>
          </w:r>
          <w:r>
            <w:rPr>
              <w:rFonts w:hint="eastAsia" w:ascii="微软雅黑" w:hAnsi="微软雅黑" w:eastAsia="微软雅黑" w:cs="微软雅黑"/>
              <w:b/>
              <w:bCs/>
              <w:sz w:val="56"/>
              <w:szCs w:val="56"/>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
            <w:spacing w:line="240" w:lineRule="auto"/>
            <w:rPr>
              <w:rFonts w:hint="eastAsia" w:ascii="微软雅黑" w:hAnsi="微软雅黑" w:eastAsia="微软雅黑" w:cs="微软雅黑"/>
              <w:b/>
              <w:sz w:val="30"/>
              <w:szCs w:val="30"/>
              <w:highlight w:val="none"/>
            </w:rPr>
          </w:pPr>
        </w:p>
        <w:p w14:paraId="174B289F">
          <w:pPr>
            <w:pStyle w:val="2"/>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highlight w:val="none"/>
              <w:lang w:val="en-US" w:eastAsia="zh-CN"/>
            </w:rPr>
            <w:t>芜湖滨江文旅投资运营有限</w:t>
          </w:r>
          <w:r>
            <w:rPr>
              <w:rFonts w:hint="eastAsia" w:ascii="微软雅黑" w:hAnsi="微软雅黑" w:eastAsia="微软雅黑" w:cs="微软雅黑"/>
              <w:b/>
              <w:bCs/>
              <w:spacing w:val="-20"/>
              <w:sz w:val="36"/>
              <w:szCs w:val="36"/>
              <w:highlight w:val="none"/>
            </w:rPr>
            <w:t>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en-US" w:eastAsia="zh-CN"/>
        </w:rPr>
        <w:t>芜湖滨江文旅投资运营有限</w:t>
      </w:r>
      <w:r>
        <w:rPr>
          <w:rFonts w:hint="eastAsia" w:ascii="微软雅黑" w:hAnsi="微软雅黑" w:eastAsia="微软雅黑" w:cs="微软雅黑"/>
          <w:color w:val="000000"/>
          <w:sz w:val="24"/>
          <w:szCs w:val="24"/>
          <w:highlight w:val="none"/>
          <w:lang w:val="zh-CN"/>
        </w:rPr>
        <w:t>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highlight w:val="none"/>
          <w:u w:val="single"/>
          <w:lang w:val="zh-CN" w:eastAsia="zh-CN"/>
        </w:rPr>
        <w:t>芜湖老船厂1900项目2#和10#地块临时变压器</w:t>
      </w:r>
      <w:r>
        <w:rPr>
          <w:rFonts w:hint="eastAsia" w:ascii="微软雅黑" w:hAnsi="微软雅黑" w:eastAsia="微软雅黑" w:cs="微软雅黑"/>
          <w:b/>
          <w:bCs/>
          <w:color w:val="000000"/>
          <w:sz w:val="24"/>
          <w:szCs w:val="24"/>
          <w:highlight w:val="none"/>
          <w:u w:val="single"/>
          <w:lang w:val="zh-CN"/>
        </w:rPr>
        <w:t>处置”</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5"/>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746AEC6F">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（一）项目名称及招标方式：</w:t>
      </w:r>
    </w:p>
    <w:p w14:paraId="46F0E53C">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zh-CN" w:eastAsia="zh-CN"/>
        </w:rPr>
        <w:t>芜湖老船厂1900项目2#和10#地块临时变压器处置项目</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招标方式：公开招标</w:t>
      </w:r>
    </w:p>
    <w:p w14:paraId="16BBED6D">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（二）处置内容：</w:t>
      </w:r>
    </w:p>
    <w:p w14:paraId="61D61C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芜湖滨江文旅投资运营有限公司所属废旧变压器、高压计量柜等设施设备若干，数量以现场实际为准，需自行拆卸搬运，并需拆除清理配电房、电线杆。</w:t>
      </w:r>
    </w:p>
    <w:p w14:paraId="29A77C4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处置资产位于芜湖市镜湖区长江中路芜湖老船厂1900项目。</w:t>
      </w:r>
    </w:p>
    <w:p w14:paraId="650BBE9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处置底价：  价格以现场实际测量为准，单价评估如下 。</w:t>
      </w:r>
    </w:p>
    <w:tbl>
      <w:tblPr>
        <w:tblStyle w:val="29"/>
        <w:tblW w:w="9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872"/>
        <w:gridCol w:w="1928"/>
        <w:gridCol w:w="1020"/>
        <w:gridCol w:w="770"/>
        <w:gridCol w:w="890"/>
        <w:gridCol w:w="1315"/>
        <w:gridCol w:w="1469"/>
      </w:tblGrid>
      <w:tr w14:paraId="2E02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9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2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D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8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E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129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9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7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2F2">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高压计量柜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8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4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D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D709">
            <w:pPr>
              <w:jc w:val="center"/>
              <w:rPr>
                <w:rFonts w:hint="eastAsia" w:ascii="宋体" w:hAnsi="宋体" w:eastAsia="宋体" w:cs="宋体"/>
                <w:i w:val="0"/>
                <w:iCs w:val="0"/>
                <w:color w:val="000000"/>
                <w:sz w:val="22"/>
                <w:szCs w:val="22"/>
                <w:u w:val="none"/>
              </w:rPr>
            </w:pPr>
          </w:p>
        </w:tc>
      </w:tr>
      <w:tr w14:paraId="230D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8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400的变压器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6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包含变压器、TP柜及杆上器材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9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 </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814">
            <w:pPr>
              <w:jc w:val="center"/>
              <w:rPr>
                <w:rFonts w:hint="eastAsia" w:ascii="宋体" w:hAnsi="宋体" w:eastAsia="宋体" w:cs="宋体"/>
                <w:i w:val="0"/>
                <w:iCs w:val="0"/>
                <w:color w:val="000000"/>
                <w:sz w:val="22"/>
                <w:szCs w:val="22"/>
                <w:u w:val="none"/>
              </w:rPr>
            </w:pPr>
          </w:p>
        </w:tc>
      </w:tr>
      <w:tr w14:paraId="058F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400的变压器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C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10#地块东侧损坏变压器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B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3200.00 </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DECA">
            <w:pPr>
              <w:jc w:val="center"/>
              <w:rPr>
                <w:rFonts w:hint="eastAsia" w:ascii="宋体" w:hAnsi="宋体" w:eastAsia="宋体" w:cs="宋体"/>
                <w:i w:val="0"/>
                <w:iCs w:val="0"/>
                <w:color w:val="000000"/>
                <w:sz w:val="22"/>
                <w:szCs w:val="22"/>
                <w:u w:val="none"/>
              </w:rPr>
            </w:pPr>
          </w:p>
        </w:tc>
      </w:tr>
      <w:tr w14:paraId="448E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4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4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主电缆</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高压铜芯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3562">
            <w:pPr>
              <w:jc w:val="center"/>
              <w:rPr>
                <w:rFonts w:hint="eastAsia" w:ascii="宋体" w:hAnsi="宋体" w:eastAsia="宋体" w:cs="宋体"/>
                <w:i w:val="0"/>
                <w:iCs w:val="0"/>
                <w:color w:val="000000"/>
                <w:sz w:val="22"/>
                <w:szCs w:val="22"/>
                <w:u w:val="none"/>
              </w:rPr>
            </w:pPr>
          </w:p>
        </w:tc>
      </w:tr>
      <w:tr w14:paraId="64BF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7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电线杆、基础、砖混配电房拆除、变压器围挡拆除</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D294">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需拆除并清运垃圾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4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F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包含施工期间对应围挡拆除及恢复</w:t>
            </w:r>
          </w:p>
        </w:tc>
      </w:tr>
      <w:tr w14:paraId="4F81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4C2B">
            <w:pPr>
              <w:jc w:val="center"/>
              <w:rPr>
                <w:rFonts w:hint="eastAsia" w:ascii="宋体" w:hAnsi="宋体" w:eastAsia="宋体" w:cs="宋体"/>
                <w:b/>
                <w:bCs/>
                <w:i w:val="0"/>
                <w:iCs w:val="0"/>
                <w:color w:val="000000"/>
                <w:sz w:val="22"/>
                <w:szCs w:val="22"/>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A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70B6">
            <w:pPr>
              <w:jc w:val="center"/>
              <w:rPr>
                <w:rFonts w:hint="eastAsia" w:ascii="宋体" w:hAnsi="宋体" w:eastAsia="宋体" w:cs="宋体"/>
                <w:b/>
                <w:bCs/>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67F">
            <w:pPr>
              <w:jc w:val="center"/>
              <w:rPr>
                <w:rFonts w:hint="eastAsia" w:ascii="宋体" w:hAnsi="宋体" w:eastAsia="宋体" w:cs="宋体"/>
                <w:b/>
                <w:bCs/>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C841">
            <w:pPr>
              <w:jc w:val="center"/>
              <w:rPr>
                <w:rFonts w:hint="eastAsia" w:ascii="宋体" w:hAnsi="宋体" w:eastAsia="宋体" w:cs="宋体"/>
                <w:b/>
                <w:bCs/>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AF84">
            <w:pPr>
              <w:jc w:val="center"/>
              <w:rPr>
                <w:rFonts w:hint="eastAsia" w:ascii="宋体" w:hAnsi="宋体" w:eastAsia="宋体" w:cs="宋体"/>
                <w:b/>
                <w:bCs/>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C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21200.00 </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7FBA">
            <w:pPr>
              <w:jc w:val="center"/>
              <w:rPr>
                <w:rFonts w:hint="eastAsia" w:ascii="宋体" w:hAnsi="宋体" w:eastAsia="宋体" w:cs="宋体"/>
                <w:b/>
                <w:bCs/>
                <w:i w:val="0"/>
                <w:iCs w:val="0"/>
                <w:color w:val="000000"/>
                <w:sz w:val="22"/>
                <w:szCs w:val="22"/>
                <w:u w:val="none"/>
              </w:rPr>
            </w:pPr>
          </w:p>
        </w:tc>
      </w:tr>
    </w:tbl>
    <w:p w14:paraId="61747D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p>
    <w:p w14:paraId="6F94DDF9">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p>
    <w:p w14:paraId="29CB9A48">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（三）转让条件</w:t>
      </w:r>
    </w:p>
    <w:p w14:paraId="55EDD9E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成新度和功能情况等，并认可转让资产现状及转让要求，自愿承担因上述原因导致的一切后果和法律责任。</w:t>
      </w:r>
    </w:p>
    <w:p w14:paraId="09C4D8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2.办理资产过户手续过程中发生的相关税费、清运费（包括但不限于拆卸、装运和清场费用）、称重费用等均由受让方承担。</w:t>
      </w:r>
    </w:p>
    <w:p w14:paraId="7264E5B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3.自转让价款全部付清之日起15个工作日内，受让方须将转让标的清理、搬运完毕，委托方将协助受让方办理资产过户、交接手续。</w:t>
      </w:r>
      <w:r>
        <w:rPr>
          <w:rFonts w:hint="eastAsia" w:ascii="微软雅黑" w:hAnsi="微软雅黑" w:eastAsia="微软雅黑" w:cs="微软雅黑"/>
          <w:color w:val="000000"/>
          <w:sz w:val="24"/>
          <w:szCs w:val="24"/>
          <w:highlight w:val="none"/>
          <w:lang w:val="en-US" w:eastAsia="zh-CN"/>
        </w:rPr>
        <w:br w:type="textWrapping"/>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b/>
          <w:bCs/>
          <w:color w:val="000000"/>
          <w:sz w:val="24"/>
          <w:szCs w:val="24"/>
          <w:highlight w:val="none"/>
          <w:lang w:val="en-US" w:eastAsia="zh-CN"/>
        </w:rPr>
        <w:t>（四）投标保证金</w:t>
      </w:r>
    </w:p>
    <w:p w14:paraId="720F87B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1.各意向投标人需在2026年4月28日9:00之前将本项目投标保证金</w:t>
      </w:r>
      <w:r>
        <w:rPr>
          <w:rFonts w:hint="eastAsia" w:ascii="微软雅黑" w:hAnsi="微软雅黑" w:eastAsia="微软雅黑" w:cs="微软雅黑"/>
          <w:b/>
          <w:bCs/>
          <w:color w:val="000000"/>
          <w:sz w:val="24"/>
          <w:szCs w:val="24"/>
          <w:highlight w:val="none"/>
          <w:u w:val="single"/>
          <w:lang w:val="en-US" w:eastAsia="zh-CN"/>
        </w:rPr>
        <w:t>伍仟元整（5000.00）</w:t>
      </w:r>
      <w:r>
        <w:rPr>
          <w:rFonts w:hint="eastAsia" w:ascii="微软雅黑" w:hAnsi="微软雅黑" w:eastAsia="微软雅黑" w:cs="微软雅黑"/>
          <w:b w:val="0"/>
          <w:bCs w:val="0"/>
          <w:color w:val="000000"/>
          <w:sz w:val="24"/>
          <w:szCs w:val="24"/>
          <w:highlight w:val="none"/>
          <w:lang w:val="en-US" w:eastAsia="zh-CN"/>
        </w:rPr>
        <w:t>转账至招标人指定账户：</w:t>
      </w:r>
      <w:r>
        <w:rPr>
          <w:rFonts w:hint="eastAsia" w:ascii="微软雅黑" w:hAnsi="微软雅黑" w:eastAsia="微软雅黑" w:cs="微软雅黑"/>
          <w:color w:val="000000"/>
          <w:sz w:val="24"/>
          <w:szCs w:val="24"/>
          <w:highlight w:val="none"/>
          <w:lang w:val="en-US" w:eastAsia="zh-CN"/>
        </w:rPr>
        <w:t>汇款账户户名：芜湖滨江文旅投资运营有限公司</w:t>
      </w:r>
    </w:p>
    <w:p w14:paraId="0352C60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汇款账户开户行：徽商银行股份有限公司芜湖长江路支行</w:t>
      </w:r>
    </w:p>
    <w:p w14:paraId="562A1A9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账号： 225009950341000002</w:t>
      </w:r>
    </w:p>
    <w:p w14:paraId="7E9A3AD9">
      <w:pPr>
        <w:autoSpaceDE w:val="0"/>
        <w:autoSpaceDN w:val="0"/>
        <w:adjustRightInd w:val="0"/>
        <w:spacing w:after="0" w:line="360" w:lineRule="auto"/>
        <w:ind w:firstLine="480" w:firstLineChars="200"/>
        <w:jc w:val="both"/>
        <w:rPr>
          <w:rFonts w:hint="default" w:ascii="微软雅黑" w:hAnsi="微软雅黑" w:eastAsia="微软雅黑" w:cs="微软雅黑"/>
          <w:b w:val="0"/>
          <w:bCs w:val="0"/>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未按要求在规定时间之前转账支付保证金的取消投标资格。招标结束后，未中标的单位投标保证金招标人5个工作日内原路返回，中标单位投标保证金直接转为资产转让价款，不再另行退还。</w:t>
      </w:r>
    </w:p>
    <w:p w14:paraId="58359429">
      <w:pPr>
        <w:autoSpaceDE w:val="0"/>
        <w:autoSpaceDN w:val="0"/>
        <w:adjustRightInd w:val="0"/>
        <w:spacing w:after="0" w:line="360" w:lineRule="auto"/>
        <w:ind w:left="0" w:leftChars="0" w:firstLine="420" w:firstLineChars="175"/>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（五）竞价方式：</w:t>
      </w:r>
    </w:p>
    <w:p w14:paraId="0FB50780">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本项目采取线下询比价方式，价高者得的方式确定成交方。本次招标按竞价高低依次设置中标候选人，若前位候选人放弃中标，则依投标报价高低顺序确定新中标候选人。同时放弃中标候选人的投标保证金不予退还。</w:t>
      </w:r>
    </w:p>
    <w:p w14:paraId="60E660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意向方需要现场踏勘报价，并请于报名截止日前联系现场踏勘负责人（张工：15956984836），由处置方统一安排具体踏勘时间。报名的意向方都视同已实地踏勘出租标的，确认了标的现状，自愿承担因上述原因导致的一切后果和法律责任。</w:t>
      </w:r>
    </w:p>
    <w:p w14:paraId="6D4AAB79">
      <w:pPr>
        <w:autoSpaceDE w:val="0"/>
        <w:autoSpaceDN w:val="0"/>
        <w:adjustRightInd w:val="0"/>
        <w:spacing w:after="0" w:line="360" w:lineRule="auto"/>
        <w:ind w:left="0" w:leftChars="0" w:firstLine="420" w:firstLineChars="175"/>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（六）价款支付：</w:t>
      </w:r>
    </w:p>
    <w:p w14:paraId="21CB4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成交方应于成交之日起2日内与处置方签订《资产转让合同》，并于《资产转让合同》生效之日起5日内向芜湖滨江文旅投资运营有限公司一次性付清全部转让价款（扣除投标保证金）。逾期未与处置方签订合同，则视为成交方放弃成交资格。</w:t>
      </w:r>
    </w:p>
    <w:p w14:paraId="1C616F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汇款账户户名：芜湖滨江文旅投资运营有限公司</w:t>
      </w:r>
    </w:p>
    <w:p w14:paraId="08CE23F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汇款账户开户行：徽商银行股份有限公司芜湖长江路支行</w:t>
      </w:r>
    </w:p>
    <w:p w14:paraId="04BE4F3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账号： 225009950341000002</w:t>
      </w:r>
    </w:p>
    <w:p w14:paraId="5D0AF218">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（七）其他注意事项：</w:t>
      </w:r>
    </w:p>
    <w:p w14:paraId="632D869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1、成交方必须将所成交资产在完成价款支付后15日内拆除搬运完毕并清理现场。</w:t>
      </w:r>
    </w:p>
    <w:p w14:paraId="128FF8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本次处置资产为废旧资产，处置方不提供任何质量方面的担保或保证。成交方在处置过程中，产生的质量、安全和环保等问题，处置方不承担任何责任，由此产生的一切责任及后果由成交方承担。成交方必须按照国家法律要求对废旧设备进行处置，私自违规处置所造成的各类纠纷或事故，成交方负全责。处置（回收）过程中须注意安全，发生的任何事故与处置方无关，由成交方自行承担。</w:t>
      </w:r>
    </w:p>
    <w:p w14:paraId="5F807D5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270E207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4、请意向方认真阅读本公告，报名完成视同同意所有询价要求。</w:t>
      </w:r>
    </w:p>
    <w:p w14:paraId="6D3E58B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6. </w:t>
      </w:r>
      <w:r>
        <w:rPr>
          <w:rFonts w:hint="eastAsia" w:ascii="微软雅黑" w:hAnsi="微软雅黑" w:eastAsia="微软雅黑" w:cs="微软雅黑"/>
          <w:color w:val="000000"/>
          <w:sz w:val="24"/>
          <w:szCs w:val="24"/>
          <w:highlight w:val="none"/>
          <w:lang w:val="zh-CN"/>
        </w:rPr>
        <w:t>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20D749C9">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本项目采取线下询比价方式，价高者得的方式确定成交方。</w:t>
      </w:r>
    </w:p>
    <w:p w14:paraId="1D005226">
      <w:pPr>
        <w:numPr>
          <w:ilvl w:val="0"/>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若中标人因自身原因无法继续履行合同，其余投标方按报价从高到低依次递补。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28</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时前送至芜湖滨江文旅投资运营有限公司，地址：</w:t>
      </w:r>
      <w:r>
        <w:rPr>
          <w:rFonts w:hint="eastAsia" w:ascii="微软雅黑" w:hAnsi="微软雅黑" w:eastAsia="微软雅黑" w:cs="微软雅黑"/>
          <w:color w:val="000000"/>
          <w:sz w:val="24"/>
          <w:szCs w:val="24"/>
          <w:highlight w:val="none"/>
          <w:lang w:val="en-US" w:eastAsia="zh-CN"/>
        </w:rPr>
        <w:t>芜湖市镜湖区长江中路华强广场A栋14层1407室</w:t>
      </w:r>
      <w:r>
        <w:rPr>
          <w:rFonts w:hint="eastAsia" w:ascii="微软雅黑" w:hAnsi="微软雅黑" w:eastAsia="微软雅黑" w:cs="微软雅黑"/>
          <w:color w:val="000000"/>
          <w:sz w:val="24"/>
          <w:szCs w:val="24"/>
          <w:highlight w:val="none"/>
          <w:lang w:val="zh-CN"/>
        </w:rPr>
        <w:t>。</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张超</w:t>
      </w:r>
    </w:p>
    <w:p w14:paraId="578E1098">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报名热线：</w:t>
      </w:r>
      <w:r>
        <w:rPr>
          <w:rFonts w:hint="eastAsia" w:ascii="微软雅黑" w:hAnsi="微软雅黑" w:eastAsia="微软雅黑" w:cs="微软雅黑"/>
          <w:color w:val="000000"/>
          <w:sz w:val="24"/>
          <w:szCs w:val="24"/>
          <w:highlight w:val="none"/>
          <w:lang w:val="en-US" w:eastAsia="zh-CN"/>
        </w:rPr>
        <w:t>15956984836</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w:t>
      </w:r>
      <w:r>
        <w:rPr>
          <w:rFonts w:hint="eastAsia" w:ascii="微软雅黑" w:hAnsi="微软雅黑" w:eastAsia="微软雅黑" w:cs="微软雅黑"/>
          <w:color w:val="000000"/>
          <w:sz w:val="24"/>
          <w:szCs w:val="24"/>
          <w:highlight w:val="none"/>
          <w:lang w:val="en-US" w:eastAsia="zh-CN"/>
        </w:rPr>
        <w:t>芜湖市镜湖区长江中路华强广场A栋14层1407室</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24</w:t>
            </w:r>
            <w:r>
              <w:rPr>
                <w:rFonts w:hint="eastAsia" w:ascii="微软雅黑" w:hAnsi="微软雅黑" w:eastAsia="微软雅黑" w:cs="微软雅黑"/>
                <w:sz w:val="24"/>
                <w:szCs w:val="24"/>
                <w:highlight w:val="none"/>
              </w:rPr>
              <w:t>日</w:t>
            </w:r>
          </w:p>
        </w:tc>
        <w:tc>
          <w:tcPr>
            <w:tcW w:w="1796" w:type="pct"/>
            <w:vAlign w:val="center"/>
          </w:tcPr>
          <w:p w14:paraId="37CAE2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w:t>
            </w:r>
          </w:p>
          <w:p w14:paraId="16EE5B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4"/>
                <w:szCs w:val="24"/>
                <w:highlight w:val="none"/>
              </w:rPr>
            </w:pPr>
            <w:r>
              <w:rPr>
                <w:rFonts w:hint="eastAsia" w:ascii="宋体" w:hAnsi="宋体"/>
                <w:spacing w:val="0"/>
                <w:sz w:val="24"/>
                <w:szCs w:val="24"/>
                <w:highlight w:val="none"/>
                <w:lang w:val="en-US" w:eastAsia="zh-CN"/>
              </w:rPr>
              <w:t>公司官网</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28</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时</w:t>
            </w:r>
          </w:p>
        </w:tc>
        <w:tc>
          <w:tcPr>
            <w:tcW w:w="1796" w:type="pct"/>
            <w:vAlign w:val="center"/>
          </w:tcPr>
          <w:p w14:paraId="0A0F77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2065BF3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A栋1407室</w:t>
            </w:r>
          </w:p>
          <w:p w14:paraId="646654FF">
            <w:pPr>
              <w:keepNext w:val="0"/>
              <w:keepLines w:val="0"/>
              <w:pageBreakBefore w:val="0"/>
              <w:widowControl/>
              <w:tabs>
                <w:tab w:val="left" w:pos="993"/>
              </w:tabs>
              <w:kinsoku/>
              <w:wordWrap/>
              <w:overflowPunct/>
              <w:topLinePunct w:val="0"/>
              <w:bidi w:val="0"/>
              <w:snapToGrid/>
              <w:spacing w:after="0" w:line="240" w:lineRule="auto"/>
              <w:jc w:val="center"/>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w:t>
            </w:r>
          </w:p>
          <w:p w14:paraId="4B3B897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宋体" w:hAnsi="宋体"/>
                <w:spacing w:val="0"/>
                <w:sz w:val="24"/>
                <w:szCs w:val="24"/>
                <w:highlight w:val="none"/>
                <w:lang w:val="en-US" w:eastAsia="zh-CN"/>
              </w:rPr>
              <w:t>公司</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28</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时</w:t>
            </w:r>
          </w:p>
        </w:tc>
        <w:tc>
          <w:tcPr>
            <w:tcW w:w="1796" w:type="pct"/>
            <w:vAlign w:val="center"/>
          </w:tcPr>
          <w:p w14:paraId="19DC33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w:t>
            </w:r>
            <w:bookmarkStart w:id="32" w:name="_GoBack"/>
            <w:bookmarkEnd w:id="32"/>
            <w:r>
              <w:rPr>
                <w:rFonts w:hint="eastAsia" w:ascii="宋体" w:hAnsi="宋体"/>
                <w:spacing w:val="0"/>
                <w:sz w:val="24"/>
                <w:szCs w:val="24"/>
                <w:highlight w:val="none"/>
                <w:lang w:val="en-US" w:eastAsia="zh-CN"/>
              </w:rPr>
              <w:t>镜湖区华强广场</w:t>
            </w:r>
          </w:p>
          <w:p w14:paraId="23A8CB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A栋1407室</w:t>
            </w:r>
          </w:p>
          <w:p w14:paraId="1EAEE5B2">
            <w:pPr>
              <w:keepNext w:val="0"/>
              <w:keepLines w:val="0"/>
              <w:pageBreakBefore w:val="0"/>
              <w:widowControl/>
              <w:tabs>
                <w:tab w:val="left" w:pos="993"/>
              </w:tabs>
              <w:kinsoku/>
              <w:wordWrap/>
              <w:overflowPunct/>
              <w:topLinePunct w:val="0"/>
              <w:bidi w:val="0"/>
              <w:snapToGrid/>
              <w:spacing w:after="0" w:line="240" w:lineRule="auto"/>
              <w:jc w:val="center"/>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w:t>
            </w:r>
          </w:p>
          <w:p w14:paraId="3BDE41C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宋体" w:hAnsi="宋体"/>
                <w:spacing w:val="0"/>
                <w:sz w:val="24"/>
                <w:szCs w:val="24"/>
                <w:highlight w:val="none"/>
                <w:lang w:val="en-US" w:eastAsia="zh-CN"/>
              </w:rPr>
              <w:t>公司</w:t>
            </w:r>
          </w:p>
        </w:tc>
      </w:tr>
    </w:tbl>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5"/>
        <w:spacing w:before="0" w:after="0" w:line="360" w:lineRule="auto"/>
        <w:jc w:val="center"/>
        <w:rPr>
          <w:rFonts w:hint="eastAsia" w:ascii="微软雅黑" w:hAnsi="微软雅黑" w:eastAsia="微软雅黑" w:cs="微软雅黑"/>
          <w:b/>
          <w:bCs/>
          <w:color w:val="000000"/>
          <w:sz w:val="36"/>
          <w:szCs w:val="36"/>
          <w:highlight w:val="none"/>
        </w:rPr>
      </w:pPr>
      <w:bookmarkStart w:id="7" w:name="_Toc245092762"/>
      <w:bookmarkStart w:id="8" w:name="_Toc39733479"/>
      <w:bookmarkStart w:id="9" w:name="_Toc273602342"/>
      <w:bookmarkStart w:id="10" w:name="_Toc22397"/>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芜湖老船厂1900项目2#和10#地块临时变压器处置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w:t>
      </w:r>
      <w:r>
        <w:rPr>
          <w:rFonts w:hint="eastAsia" w:ascii="微软雅黑" w:hAnsi="微软雅黑" w:eastAsia="微软雅黑" w:cs="微软雅黑"/>
          <w:color w:val="000000"/>
          <w:sz w:val="24"/>
          <w:szCs w:val="24"/>
          <w:highlight w:val="none"/>
          <w:lang w:val="en-US" w:eastAsia="zh-CN"/>
        </w:rPr>
        <w:t>高</w:t>
      </w:r>
      <w:r>
        <w:rPr>
          <w:rFonts w:hint="eastAsia" w:ascii="微软雅黑" w:hAnsi="微软雅黑" w:eastAsia="微软雅黑" w:cs="微软雅黑"/>
          <w:color w:val="000000"/>
          <w:sz w:val="24"/>
          <w:szCs w:val="24"/>
          <w:highlight w:val="none"/>
          <w:lang w:val="zh-CN"/>
        </w:rPr>
        <w:t>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w:t>
      </w:r>
      <w:r>
        <w:rPr>
          <w:rFonts w:hint="eastAsia" w:ascii="微软雅黑" w:hAnsi="微软雅黑" w:eastAsia="微软雅黑" w:cs="微软雅黑"/>
          <w:color w:val="000000"/>
          <w:sz w:val="24"/>
          <w:szCs w:val="24"/>
          <w:highlight w:val="none"/>
          <w:lang w:val="en-US" w:eastAsia="zh-CN"/>
        </w:rPr>
        <w:t>低</w:t>
      </w:r>
      <w:r>
        <w:rPr>
          <w:rFonts w:hint="eastAsia" w:ascii="微软雅黑" w:hAnsi="微软雅黑" w:eastAsia="微软雅黑" w:cs="微软雅黑"/>
          <w:color w:val="000000"/>
          <w:sz w:val="24"/>
          <w:szCs w:val="24"/>
          <w:highlight w:val="none"/>
          <w:lang w:val="zh-CN"/>
        </w:rPr>
        <w:t>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12" w:name="_Toc245028818"/>
      <w:bookmarkStart w:id="13" w:name="_Toc2829"/>
      <w:bookmarkStart w:id="14" w:name="_Toc39733482"/>
      <w:bookmarkStart w:id="15" w:name="_Toc273602352"/>
      <w:bookmarkStart w:id="16" w:name="_Toc245714170"/>
      <w:r>
        <w:rPr>
          <w:rFonts w:hint="eastAsia" w:ascii="微软雅黑" w:hAnsi="微软雅黑" w:eastAsia="微软雅黑" w:cs="微软雅黑"/>
          <w:color w:val="000000"/>
          <w:sz w:val="24"/>
          <w:szCs w:val="24"/>
          <w:highlight w:val="none"/>
          <w:lang w:val="zh-CN"/>
        </w:rPr>
        <w:t>本项目采用统一、高价评标法进行评审，评标委员会将依据报价表单进行评审。由高到低进行排序，最高价者中标。若投标价相同，则依据收到投标文件先后顺序排序。若中标人因自身原因无法继续履行合同，其余投标方按报价从高到低依次递补。</w:t>
      </w: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7"/>
        <w:spacing w:line="360" w:lineRule="auto"/>
        <w:rPr>
          <w:rFonts w:hint="eastAsia" w:ascii="微软雅黑" w:hAnsi="微软雅黑" w:eastAsia="微软雅黑" w:cs="微软雅黑"/>
          <w:b/>
          <w:sz w:val="21"/>
          <w:szCs w:val="21"/>
          <w:highlight w:val="none"/>
        </w:rPr>
      </w:pPr>
      <w:bookmarkStart w:id="17" w:name="_Toc39733483"/>
      <w:bookmarkStart w:id="18" w:name="_Toc273602355"/>
      <w:bookmarkStart w:id="19" w:name="_Toc245714173"/>
      <w:bookmarkStart w:id="20" w:name="_Toc20758"/>
      <w:r>
        <w:rPr>
          <w:rFonts w:hint="eastAsia" w:ascii="微软雅黑" w:hAnsi="微软雅黑" w:eastAsia="微软雅黑" w:cs="微软雅黑"/>
          <w:b/>
          <w:sz w:val="21"/>
          <w:szCs w:val="21"/>
          <w:highlight w:val="none"/>
        </w:rPr>
        <w:t>附件一：</w:t>
      </w:r>
    </w:p>
    <w:p w14:paraId="7CB830BA">
      <w:pPr>
        <w:pStyle w:val="7"/>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20"/>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eastAsia="zh-CN"/>
        </w:rPr>
        <w:t>芜湖滨江文旅投资运营有限公司</w:t>
      </w:r>
    </w:p>
    <w:p w14:paraId="49484F88">
      <w:pPr>
        <w:pStyle w:val="6"/>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芜湖老船厂1900项目2#和10#地块临时变压器处置项目</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7"/>
        <w:spacing w:line="360" w:lineRule="auto"/>
        <w:jc w:val="both"/>
        <w:rPr>
          <w:rFonts w:hint="eastAsia" w:ascii="微软雅黑" w:hAnsi="微软雅黑" w:eastAsia="微软雅黑" w:cs="微软雅黑"/>
          <w:sz w:val="22"/>
          <w:szCs w:val="22"/>
          <w:highlight w:val="none"/>
        </w:rPr>
      </w:pPr>
      <w:bookmarkStart w:id="21" w:name="_Toc273602356"/>
      <w:bookmarkStart w:id="22" w:name="_Toc245714174"/>
      <w:bookmarkStart w:id="23" w:name="_Toc39733484"/>
      <w:bookmarkStart w:id="24" w:name="_Toc10239"/>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7"/>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9"/>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芜湖滨江文旅投资运营有限公司</w:t>
      </w:r>
      <w:r>
        <w:rPr>
          <w:rFonts w:hint="eastAsia" w:ascii="微软雅黑" w:hAnsi="微软雅黑" w:eastAsia="微软雅黑" w:cs="微软雅黑"/>
          <w:highlight w:val="none"/>
          <w:u w:val="single"/>
          <w:lang w:eastAsia="zh-CN"/>
        </w:rPr>
        <w:t>芜湖老船厂1900项目2#和10#地块临时变压器处置项目</w:t>
      </w:r>
      <w:r>
        <w:rPr>
          <w:rFonts w:hint="eastAsia" w:ascii="微软雅黑" w:hAnsi="微软雅黑" w:eastAsia="微软雅黑" w:cs="微软雅黑"/>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9"/>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9"/>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9"/>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7"/>
        <w:numPr>
          <w:ilvl w:val="0"/>
          <w:numId w:val="2"/>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9"/>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芜湖老船厂1900项目2#和10#地块临时变压器处置项目</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9"/>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9"/>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9"/>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348871BA">
      <w:pPr>
        <w:spacing w:line="360" w:lineRule="auto"/>
        <w:jc w:val="center"/>
        <w:rPr>
          <w:rFonts w:hint="eastAsia" w:ascii="微软雅黑" w:hAnsi="微软雅黑" w:eastAsia="微软雅黑" w:cs="微软雅黑"/>
          <w:b/>
          <w:bCs/>
          <w:sz w:val="22"/>
          <w:szCs w:val="22"/>
          <w:highlight w:val="none"/>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2EED0B85">
          <w:pPr>
            <w:spacing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芜湖老船厂1900项目2#和10#地块</w:t>
          </w:r>
        </w:p>
        <w:p w14:paraId="59D427B8">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lang w:val="en-US" w:eastAsia="zh-CN"/>
            </w:rPr>
            <w:t>临时变压器</w:t>
          </w:r>
          <w:r>
            <w:rPr>
              <w:rFonts w:hint="eastAsia" w:ascii="微软雅黑" w:hAnsi="微软雅黑" w:eastAsia="微软雅黑" w:cs="微软雅黑"/>
              <w:b/>
              <w:bCs/>
              <w:sz w:val="56"/>
              <w:szCs w:val="56"/>
              <w:highlight w:val="none"/>
            </w:rPr>
            <w:t>处置</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3A20EA1A">
          <w:pPr>
            <w:pStyle w:val="2"/>
            <w:widowControl w:val="0"/>
            <w:spacing w:after="0" w:line="360" w:lineRule="auto"/>
            <w:ind w:left="0" w:leftChars="0"/>
            <w:jc w:val="both"/>
            <w:rPr>
              <w:rFonts w:hint="eastAsia" w:ascii="微软雅黑" w:hAnsi="微软雅黑" w:eastAsia="微软雅黑" w:cs="微软雅黑"/>
              <w:highlight w:val="none"/>
            </w:rPr>
          </w:pPr>
          <w:bookmarkStart w:id="28" w:name="_Toc273602363"/>
          <w:bookmarkStart w:id="29" w:name="_Toc328559344"/>
          <w:bookmarkStart w:id="30" w:name="_Toc270410845"/>
          <w:bookmarkStart w:id="31" w:name="_Toc240898303"/>
        </w:p>
      </w:sdtContent>
    </w:sdt>
    <w:p w14:paraId="5699CF01">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总价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
        <w:spacing w:line="360" w:lineRule="auto"/>
        <w:ind w:left="0" w:leftChars="0"/>
        <w:rPr>
          <w:rFonts w:hint="eastAsia" w:ascii="微软雅黑" w:hAnsi="微软雅黑" w:eastAsia="微软雅黑" w:cs="微软雅黑"/>
          <w:highlight w:val="none"/>
        </w:rPr>
      </w:pPr>
    </w:p>
    <w:p w14:paraId="31D24CB2">
      <w:pPr>
        <w:pStyle w:val="25"/>
        <w:spacing w:line="360" w:lineRule="auto"/>
        <w:ind w:left="420" w:hanging="420"/>
        <w:rPr>
          <w:rFonts w:hint="eastAsia" w:ascii="微软雅黑" w:hAnsi="微软雅黑" w:eastAsia="微软雅黑" w:cs="微软雅黑"/>
          <w:highlight w:val="none"/>
        </w:rPr>
      </w:pPr>
    </w:p>
    <w:p w14:paraId="00DB50D4">
      <w:pPr>
        <w:pStyle w:val="25"/>
        <w:spacing w:line="360" w:lineRule="auto"/>
        <w:ind w:left="420" w:hanging="420"/>
        <w:rPr>
          <w:rFonts w:hint="eastAsia" w:ascii="微软雅黑" w:hAnsi="微软雅黑" w:eastAsia="微软雅黑" w:cs="微软雅黑"/>
          <w:highlight w:val="none"/>
        </w:rPr>
      </w:pPr>
    </w:p>
    <w:p w14:paraId="3515BBC6">
      <w:pPr>
        <w:pStyle w:val="2"/>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1900"/>
        <w:gridCol w:w="2664"/>
        <w:gridCol w:w="2300"/>
        <w:gridCol w:w="964"/>
        <w:gridCol w:w="1215"/>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10040" w:type="dxa"/>
            <w:gridSpan w:val="6"/>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芜湖老船厂1900项目2#和10#地块临时变压器处置项目报价单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004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甲方：芜湖滨江文旅投资运营有限公司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1004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00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900"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2664" w:type="dxa"/>
            <w:tcBorders>
              <w:top w:val="nil"/>
              <w:left w:val="nil"/>
              <w:bottom w:val="single" w:color="auto" w:sz="4" w:space="0"/>
              <w:right w:val="single" w:color="auto" w:sz="4" w:space="0"/>
            </w:tcBorders>
            <w:shd w:val="clear" w:color="auto" w:fill="auto"/>
            <w:vAlign w:val="center"/>
          </w:tcPr>
          <w:p w14:paraId="5AC82B61">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eastAsia="宋体" w:cs="宋体"/>
                <w:b/>
                <w:bCs/>
                <w:i w:val="0"/>
                <w:iCs w:val="0"/>
                <w:caps w:val="0"/>
                <w:color w:val="111111"/>
                <w:spacing w:val="0"/>
                <w:sz w:val="24"/>
                <w:szCs w:val="24"/>
                <w:shd w:val="clear" w:color="auto" w:fill="FFFFFF"/>
                <w:lang w:val="en-US" w:eastAsia="zh-CN"/>
              </w:rPr>
              <w:t>数量</w:t>
            </w:r>
          </w:p>
        </w:tc>
        <w:tc>
          <w:tcPr>
            <w:tcW w:w="2300" w:type="dxa"/>
            <w:tcBorders>
              <w:top w:val="nil"/>
              <w:left w:val="nil"/>
              <w:bottom w:val="single" w:color="auto" w:sz="4" w:space="0"/>
              <w:right w:val="single" w:color="auto" w:sz="4" w:space="0"/>
            </w:tcBorders>
            <w:shd w:val="clear" w:color="auto" w:fill="auto"/>
            <w:vAlign w:val="center"/>
          </w:tcPr>
          <w:p w14:paraId="2CDC91A4">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Calibri" w:hAnsi="Calibri" w:cs="Calibri"/>
                <w:b/>
                <w:bCs/>
                <w:sz w:val="24"/>
                <w:szCs w:val="24"/>
              </w:rPr>
            </w:pPr>
            <w:r>
              <w:rPr>
                <w:rFonts w:hint="eastAsia" w:eastAsia="宋体" w:cs="宋体"/>
                <w:b/>
                <w:bCs/>
                <w:i w:val="0"/>
                <w:iCs w:val="0"/>
                <w:caps w:val="0"/>
                <w:color w:val="111111"/>
                <w:spacing w:val="0"/>
                <w:sz w:val="24"/>
                <w:szCs w:val="24"/>
                <w:shd w:val="clear" w:color="auto" w:fill="FFFFFF"/>
                <w:lang w:val="en-US" w:eastAsia="zh-CN"/>
              </w:rPr>
              <w:t>投标单价</w:t>
            </w:r>
            <w:r>
              <w:rPr>
                <w:rFonts w:hint="eastAsia" w:ascii="宋体" w:hAnsi="宋体" w:eastAsia="宋体" w:cs="宋体"/>
                <w:b/>
                <w:bCs/>
                <w:i w:val="0"/>
                <w:iCs w:val="0"/>
                <w:caps w:val="0"/>
                <w:color w:val="111111"/>
                <w:spacing w:val="0"/>
                <w:sz w:val="24"/>
                <w:szCs w:val="24"/>
                <w:shd w:val="clear" w:color="auto" w:fill="FFFFFF"/>
              </w:rPr>
              <w:t>单价</w:t>
            </w:r>
          </w:p>
          <w:p w14:paraId="5646C7F7">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ascii="宋体" w:hAnsi="宋体" w:eastAsia="宋体" w:cs="宋体"/>
                <w:b/>
                <w:bCs/>
                <w:i w:val="0"/>
                <w:iCs w:val="0"/>
                <w:caps w:val="0"/>
                <w:color w:val="111111"/>
                <w:spacing w:val="0"/>
                <w:sz w:val="24"/>
                <w:szCs w:val="24"/>
                <w:shd w:val="clear" w:color="auto" w:fill="FFFFFF"/>
              </w:rPr>
              <w:t>（元/计量单位）</w:t>
            </w:r>
          </w:p>
        </w:tc>
        <w:tc>
          <w:tcPr>
            <w:tcW w:w="964"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备注</w:t>
            </w:r>
          </w:p>
        </w:tc>
        <w:tc>
          <w:tcPr>
            <w:tcW w:w="1215"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r>
      <w:tr w14:paraId="3328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40789B7F">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none"/>
                <w:lang w:val="en-US" w:eastAsia="zh-CN" w:bidi="ar"/>
              </w:rPr>
            </w:pPr>
            <w:r>
              <w:rPr>
                <w:rFonts w:hint="eastAsia" w:ascii="Calibri" w:hAnsi="Calibri" w:eastAsia="宋体" w:cs="Calibri"/>
                <w:kern w:val="0"/>
                <w:sz w:val="24"/>
                <w:szCs w:val="24"/>
                <w:highlight w:val="none"/>
                <w:lang w:val="en-US" w:eastAsia="zh-CN" w:bidi="ar"/>
              </w:rPr>
              <w:t>1</w:t>
            </w:r>
          </w:p>
        </w:tc>
        <w:tc>
          <w:tcPr>
            <w:tcW w:w="1900" w:type="dxa"/>
            <w:tcBorders>
              <w:top w:val="nil"/>
              <w:left w:val="nil"/>
              <w:bottom w:val="single" w:color="auto" w:sz="4" w:space="0"/>
              <w:right w:val="single" w:color="auto" w:sz="4" w:space="0"/>
            </w:tcBorders>
            <w:shd w:val="clear" w:color="auto" w:fill="auto"/>
            <w:vAlign w:val="top"/>
          </w:tcPr>
          <w:p w14:paraId="39822F83">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高压柜计量柜</w:t>
            </w:r>
          </w:p>
        </w:tc>
        <w:tc>
          <w:tcPr>
            <w:tcW w:w="2664" w:type="dxa"/>
            <w:tcBorders>
              <w:top w:val="nil"/>
              <w:left w:val="nil"/>
              <w:bottom w:val="single" w:color="auto" w:sz="4" w:space="0"/>
              <w:right w:val="single" w:color="auto" w:sz="4" w:space="0"/>
            </w:tcBorders>
            <w:shd w:val="clear" w:color="auto" w:fill="auto"/>
            <w:vAlign w:val="top"/>
          </w:tcPr>
          <w:p w14:paraId="4628EF87">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1台拆除回收</w:t>
            </w:r>
            <w:r>
              <w:rPr>
                <w:rFonts w:hint="eastAsia" w:eastAsia="宋体" w:cs="宋体"/>
                <w:i w:val="0"/>
                <w:iCs w:val="0"/>
                <w:caps w:val="0"/>
                <w:color w:val="111111"/>
                <w:spacing w:val="0"/>
                <w:sz w:val="24"/>
                <w:szCs w:val="24"/>
                <w:highlight w:val="none"/>
                <w:shd w:val="clear" w:color="auto" w:fill="FFFFFF"/>
                <w:lang w:eastAsia="zh-CN"/>
              </w:rPr>
              <w:t>。</w:t>
            </w:r>
          </w:p>
        </w:tc>
        <w:tc>
          <w:tcPr>
            <w:tcW w:w="2300" w:type="dxa"/>
            <w:tcBorders>
              <w:top w:val="nil"/>
              <w:left w:val="nil"/>
              <w:bottom w:val="single" w:color="auto" w:sz="4" w:space="0"/>
              <w:right w:val="single" w:color="auto" w:sz="4" w:space="0"/>
            </w:tcBorders>
            <w:shd w:val="clear" w:color="auto" w:fill="auto"/>
            <w:vAlign w:val="top"/>
          </w:tcPr>
          <w:p w14:paraId="553E6D67">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none"/>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0A24AF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c>
          <w:tcPr>
            <w:tcW w:w="1215" w:type="dxa"/>
            <w:tcBorders>
              <w:top w:val="nil"/>
              <w:left w:val="nil"/>
              <w:bottom w:val="single" w:color="auto" w:sz="4" w:space="0"/>
              <w:right w:val="single" w:color="auto" w:sz="4" w:space="0"/>
            </w:tcBorders>
            <w:shd w:val="clear" w:color="auto" w:fill="auto"/>
            <w:vAlign w:val="center"/>
          </w:tcPr>
          <w:p w14:paraId="446961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r>
      <w:tr w14:paraId="0B58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7561798C">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none"/>
                <w:lang w:val="en-US" w:eastAsia="zh-CN" w:bidi="ar"/>
              </w:rPr>
            </w:pPr>
            <w:r>
              <w:rPr>
                <w:rFonts w:hint="eastAsia" w:ascii="Calibri" w:hAnsi="Calibri" w:eastAsia="宋体" w:cs="Calibri"/>
                <w:kern w:val="0"/>
                <w:sz w:val="24"/>
                <w:szCs w:val="24"/>
                <w:highlight w:val="none"/>
                <w:lang w:val="en-US" w:eastAsia="zh-CN" w:bidi="ar"/>
              </w:rPr>
              <w:t>2</w:t>
            </w:r>
          </w:p>
        </w:tc>
        <w:tc>
          <w:tcPr>
            <w:tcW w:w="1900" w:type="dxa"/>
            <w:tcBorders>
              <w:top w:val="nil"/>
              <w:left w:val="nil"/>
              <w:bottom w:val="single" w:color="auto" w:sz="4" w:space="0"/>
              <w:right w:val="single" w:color="auto" w:sz="4" w:space="0"/>
            </w:tcBorders>
            <w:shd w:val="clear" w:color="auto" w:fill="auto"/>
            <w:vAlign w:val="top"/>
          </w:tcPr>
          <w:p w14:paraId="6125EFF8">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变压器</w:t>
            </w:r>
          </w:p>
        </w:tc>
        <w:tc>
          <w:tcPr>
            <w:tcW w:w="2664" w:type="dxa"/>
            <w:tcBorders>
              <w:top w:val="nil"/>
              <w:left w:val="nil"/>
              <w:bottom w:val="single" w:color="auto" w:sz="4" w:space="0"/>
              <w:right w:val="single" w:color="auto" w:sz="4" w:space="0"/>
            </w:tcBorders>
            <w:shd w:val="clear" w:color="auto" w:fill="auto"/>
            <w:vAlign w:val="top"/>
          </w:tcPr>
          <w:p w14:paraId="3750B7F5">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cs="宋体"/>
                <w:i w:val="0"/>
                <w:iCs w:val="0"/>
                <w:caps w:val="0"/>
                <w:color w:val="111111"/>
                <w:spacing w:val="0"/>
                <w:sz w:val="24"/>
                <w:szCs w:val="24"/>
                <w:highlight w:val="none"/>
                <w:shd w:val="clear" w:color="auto" w:fill="FFFFFF"/>
                <w:lang w:val="en-US" w:eastAsia="zh-CN"/>
              </w:rPr>
              <w:t>3台运行良好，1台存在损坏。拆除回收。</w:t>
            </w:r>
          </w:p>
        </w:tc>
        <w:tc>
          <w:tcPr>
            <w:tcW w:w="2300" w:type="dxa"/>
            <w:tcBorders>
              <w:top w:val="nil"/>
              <w:left w:val="nil"/>
              <w:bottom w:val="single" w:color="auto" w:sz="4" w:space="0"/>
              <w:right w:val="single" w:color="auto" w:sz="4" w:space="0"/>
            </w:tcBorders>
            <w:shd w:val="clear" w:color="auto" w:fill="auto"/>
            <w:vAlign w:val="top"/>
          </w:tcPr>
          <w:p w14:paraId="30E98DC2">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none"/>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5DA0A4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c>
          <w:tcPr>
            <w:tcW w:w="1215" w:type="dxa"/>
            <w:tcBorders>
              <w:top w:val="nil"/>
              <w:left w:val="nil"/>
              <w:bottom w:val="single" w:color="auto" w:sz="4" w:space="0"/>
              <w:right w:val="single" w:color="auto" w:sz="4" w:space="0"/>
            </w:tcBorders>
            <w:shd w:val="clear" w:color="auto" w:fill="auto"/>
            <w:vAlign w:val="center"/>
          </w:tcPr>
          <w:p w14:paraId="359B18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r>
      <w:tr w14:paraId="430F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72B5C8A1">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p>
        </w:tc>
        <w:tc>
          <w:tcPr>
            <w:tcW w:w="1900" w:type="dxa"/>
            <w:tcBorders>
              <w:top w:val="nil"/>
              <w:left w:val="nil"/>
              <w:bottom w:val="single" w:color="auto" w:sz="4" w:space="0"/>
              <w:right w:val="single" w:color="auto" w:sz="4" w:space="0"/>
            </w:tcBorders>
            <w:shd w:val="clear" w:color="auto" w:fill="auto"/>
            <w:vAlign w:val="top"/>
          </w:tcPr>
          <w:p w14:paraId="0500500A">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宋体" w:hAnsi="宋体" w:eastAsia="宋体" w:cs="宋体"/>
                <w:i w:val="0"/>
                <w:iCs w:val="0"/>
                <w:caps w:val="0"/>
                <w:color w:val="111111"/>
                <w:spacing w:val="0"/>
                <w:sz w:val="24"/>
                <w:szCs w:val="24"/>
                <w:highlight w:val="none"/>
                <w:shd w:val="clear" w:color="auto" w:fill="FFFFFF"/>
              </w:rPr>
            </w:pPr>
            <w:r>
              <w:rPr>
                <w:rFonts w:hint="eastAsia" w:ascii="宋体" w:hAnsi="宋体" w:eastAsia="宋体" w:cs="宋体"/>
                <w:i w:val="0"/>
                <w:iCs w:val="0"/>
                <w:caps w:val="0"/>
                <w:color w:val="111111"/>
                <w:spacing w:val="0"/>
                <w:sz w:val="24"/>
                <w:szCs w:val="24"/>
                <w:highlight w:val="none"/>
                <w:shd w:val="clear" w:color="auto" w:fill="FFFFFF"/>
              </w:rPr>
              <w:t>电缆</w:t>
            </w:r>
          </w:p>
        </w:tc>
        <w:tc>
          <w:tcPr>
            <w:tcW w:w="2664" w:type="dxa"/>
            <w:tcBorders>
              <w:top w:val="nil"/>
              <w:left w:val="nil"/>
              <w:bottom w:val="single" w:color="auto" w:sz="4" w:space="0"/>
              <w:right w:val="single" w:color="auto" w:sz="4" w:space="0"/>
            </w:tcBorders>
            <w:shd w:val="clear" w:color="auto" w:fill="auto"/>
            <w:vAlign w:val="top"/>
          </w:tcPr>
          <w:p w14:paraId="649AD660">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宋体" w:hAnsi="宋体" w:eastAsia="宋体" w:cs="宋体"/>
                <w:i w:val="0"/>
                <w:iCs w:val="0"/>
                <w:caps w:val="0"/>
                <w:color w:val="111111"/>
                <w:spacing w:val="0"/>
                <w:sz w:val="24"/>
                <w:szCs w:val="24"/>
                <w:highlight w:val="none"/>
                <w:shd w:val="clear" w:color="auto" w:fill="FFFFFF"/>
                <w:lang w:eastAsia="zh-CN"/>
              </w:rPr>
            </w:pPr>
            <w:r>
              <w:rPr>
                <w:rFonts w:hint="eastAsia" w:ascii="宋体" w:hAnsi="宋体" w:eastAsia="宋体" w:cs="宋体"/>
                <w:i w:val="0"/>
                <w:iCs w:val="0"/>
                <w:caps w:val="0"/>
                <w:color w:val="111111"/>
                <w:spacing w:val="0"/>
                <w:sz w:val="24"/>
                <w:szCs w:val="24"/>
                <w:highlight w:val="none"/>
                <w:shd w:val="clear" w:color="auto" w:fill="FFFFFF"/>
              </w:rPr>
              <w:t>约50米，拆除回收</w:t>
            </w:r>
            <w:r>
              <w:rPr>
                <w:rFonts w:hint="eastAsia" w:eastAsia="宋体" w:cs="宋体"/>
                <w:i w:val="0"/>
                <w:iCs w:val="0"/>
                <w:caps w:val="0"/>
                <w:color w:val="111111"/>
                <w:spacing w:val="0"/>
                <w:sz w:val="24"/>
                <w:szCs w:val="24"/>
                <w:highlight w:val="none"/>
                <w:shd w:val="clear" w:color="auto" w:fill="FFFFFF"/>
                <w:lang w:eastAsia="zh-CN"/>
              </w:rPr>
              <w:t>。</w:t>
            </w:r>
          </w:p>
        </w:tc>
        <w:tc>
          <w:tcPr>
            <w:tcW w:w="2300" w:type="dxa"/>
            <w:tcBorders>
              <w:top w:val="nil"/>
              <w:left w:val="nil"/>
              <w:bottom w:val="single" w:color="auto" w:sz="4" w:space="0"/>
              <w:right w:val="single" w:color="auto" w:sz="4" w:space="0"/>
            </w:tcBorders>
            <w:shd w:val="clear" w:color="auto" w:fill="auto"/>
            <w:vAlign w:val="top"/>
          </w:tcPr>
          <w:p w14:paraId="0EB64C69">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none"/>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00D965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c>
          <w:tcPr>
            <w:tcW w:w="1215" w:type="dxa"/>
            <w:tcBorders>
              <w:top w:val="nil"/>
              <w:left w:val="nil"/>
              <w:bottom w:val="single" w:color="auto" w:sz="4" w:space="0"/>
              <w:right w:val="single" w:color="auto" w:sz="4" w:space="0"/>
            </w:tcBorders>
            <w:shd w:val="clear" w:color="auto" w:fill="auto"/>
            <w:vAlign w:val="center"/>
          </w:tcPr>
          <w:p w14:paraId="396E9B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r>
      <w:tr w14:paraId="5BD3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622B858C">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none"/>
                <w:lang w:val="en-US" w:eastAsia="zh-CN" w:bidi="ar"/>
              </w:rPr>
            </w:pPr>
            <w:r>
              <w:rPr>
                <w:rFonts w:hint="eastAsia" w:ascii="Calibri" w:hAnsi="Calibri" w:eastAsia="宋体" w:cs="Calibri"/>
                <w:kern w:val="0"/>
                <w:sz w:val="24"/>
                <w:szCs w:val="24"/>
                <w:highlight w:val="none"/>
                <w:lang w:val="en-US" w:eastAsia="zh-CN" w:bidi="ar"/>
              </w:rPr>
              <w:t>3</w:t>
            </w:r>
          </w:p>
        </w:tc>
        <w:tc>
          <w:tcPr>
            <w:tcW w:w="1900" w:type="dxa"/>
            <w:tcBorders>
              <w:top w:val="nil"/>
              <w:left w:val="nil"/>
              <w:bottom w:val="single" w:color="auto" w:sz="4" w:space="0"/>
              <w:right w:val="single" w:color="auto" w:sz="4" w:space="0"/>
            </w:tcBorders>
            <w:shd w:val="clear" w:color="auto" w:fill="auto"/>
            <w:vAlign w:val="top"/>
          </w:tcPr>
          <w:p w14:paraId="66CAD096">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宋体" w:hAnsi="宋体" w:eastAsia="宋体" w:cs="宋体"/>
                <w:i w:val="0"/>
                <w:iCs w:val="0"/>
                <w:caps w:val="0"/>
                <w:color w:val="111111"/>
                <w:spacing w:val="0"/>
                <w:sz w:val="24"/>
                <w:szCs w:val="24"/>
                <w:highlight w:val="none"/>
                <w:shd w:val="clear" w:color="auto" w:fill="FFFFFF"/>
              </w:rPr>
              <w:t>拆除清理</w:t>
            </w:r>
          </w:p>
        </w:tc>
        <w:tc>
          <w:tcPr>
            <w:tcW w:w="2664" w:type="dxa"/>
            <w:tcBorders>
              <w:top w:val="nil"/>
              <w:left w:val="nil"/>
              <w:bottom w:val="single" w:color="auto" w:sz="4" w:space="0"/>
              <w:right w:val="single" w:color="auto" w:sz="4" w:space="0"/>
            </w:tcBorders>
            <w:shd w:val="clear" w:color="auto" w:fill="auto"/>
            <w:vAlign w:val="top"/>
          </w:tcPr>
          <w:p w14:paraId="1E5DBC6A">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none"/>
                <w:lang w:val="en-US" w:eastAsia="zh-CN" w:bidi="ar"/>
              </w:rPr>
            </w:pPr>
            <w:r>
              <w:rPr>
                <w:rFonts w:hint="eastAsia" w:ascii="Calibri" w:hAnsi="Calibri" w:eastAsia="宋体" w:cs="Calibri"/>
                <w:kern w:val="0"/>
                <w:sz w:val="24"/>
                <w:szCs w:val="24"/>
                <w:highlight w:val="none"/>
                <w:lang w:val="en-US" w:eastAsia="zh-CN" w:bidi="ar"/>
              </w:rPr>
              <w:t>配电房、电线杆拆除，垃圾清运。</w:t>
            </w:r>
          </w:p>
        </w:tc>
        <w:tc>
          <w:tcPr>
            <w:tcW w:w="2300" w:type="dxa"/>
            <w:tcBorders>
              <w:top w:val="nil"/>
              <w:left w:val="nil"/>
              <w:bottom w:val="single" w:color="auto" w:sz="4" w:space="0"/>
              <w:right w:val="single" w:color="auto" w:sz="4" w:space="0"/>
            </w:tcBorders>
            <w:shd w:val="clear" w:color="auto" w:fill="auto"/>
            <w:vAlign w:val="top"/>
          </w:tcPr>
          <w:p w14:paraId="490545A2">
            <w:pPr>
              <w:pStyle w:val="2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none"/>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36DBB2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c>
          <w:tcPr>
            <w:tcW w:w="1215" w:type="dxa"/>
            <w:tcBorders>
              <w:top w:val="nil"/>
              <w:left w:val="nil"/>
              <w:bottom w:val="single" w:color="auto" w:sz="4" w:space="0"/>
              <w:right w:val="single" w:color="auto" w:sz="4" w:space="0"/>
            </w:tcBorders>
            <w:shd w:val="clear" w:color="auto" w:fill="auto"/>
            <w:vAlign w:val="center"/>
          </w:tcPr>
          <w:p w14:paraId="354E9A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highlight w:val="none"/>
                <w:u w:val="none"/>
              </w:rPr>
            </w:pPr>
          </w:p>
        </w:tc>
      </w:tr>
      <w:tr w14:paraId="391C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10040" w:type="dxa"/>
            <w:gridSpan w:val="6"/>
            <w:tcBorders>
              <w:top w:val="nil"/>
              <w:left w:val="single" w:color="auto" w:sz="4" w:space="0"/>
              <w:bottom w:val="single" w:color="auto" w:sz="4" w:space="0"/>
              <w:right w:val="single" w:color="auto" w:sz="4" w:space="0"/>
            </w:tcBorders>
            <w:shd w:val="clear" w:color="auto" w:fill="auto"/>
            <w:noWrap/>
            <w:vAlign w:val="top"/>
          </w:tcPr>
          <w:p w14:paraId="4A3E2E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rPr>
            </w:pPr>
          </w:p>
          <w:p w14:paraId="2207C5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投标总价：</w:t>
            </w:r>
            <w:r>
              <w:rPr>
                <w:rFonts w:hint="eastAsia" w:ascii="宋体" w:hAnsi="宋体" w:eastAsia="宋体" w:cs="宋体"/>
                <w:b/>
                <w:bCs/>
                <w:i w:val="0"/>
                <w:iCs w:val="0"/>
                <w:color w:val="auto"/>
                <w:kern w:val="0"/>
                <w:sz w:val="22"/>
                <w:szCs w:val="22"/>
                <w:u w:val="single"/>
                <w:lang w:val="en-US" w:eastAsia="zh-CN"/>
              </w:rPr>
              <w:t xml:space="preserve">          </w:t>
            </w:r>
            <w:r>
              <w:rPr>
                <w:rFonts w:hint="eastAsia" w:ascii="宋体" w:hAnsi="宋体" w:eastAsia="宋体" w:cs="宋体"/>
                <w:b/>
                <w:bCs/>
                <w:i w:val="0"/>
                <w:iCs w:val="0"/>
                <w:color w:val="auto"/>
                <w:kern w:val="0"/>
                <w:sz w:val="22"/>
                <w:szCs w:val="22"/>
                <w:u w:val="none"/>
                <w:lang w:val="en-US" w:eastAsia="zh-CN"/>
              </w:rPr>
              <w:t>元</w:t>
            </w: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004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004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004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72CC188C">
      <w:pPr>
        <w:pStyle w:val="25"/>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1"/>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1"/>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1"/>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2"/>
      <w:jc w:val="both"/>
      <w:rPr>
        <w:rFonts w:hint="eastAsia"/>
      </w:rPr>
    </w:pPr>
    <w:r>
      <w:rPr>
        <w:rFonts w:hint="eastAsia"/>
        <w:lang w:eastAsia="zh-CN"/>
      </w:rPr>
      <w:t>芜湖滨江文旅投资运营有限公司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2"/>
      <w:jc w:val="both"/>
      <w:rPr>
        <w:rFonts w:hint="eastAsia" w:ascii="微软雅黑" w:hAnsi="微软雅黑" w:eastAsia="微软雅黑" w:cs="微软雅黑"/>
      </w:rPr>
    </w:pPr>
    <w:r>
      <w:rPr>
        <w:rFonts w:hint="eastAsia" w:ascii="微软雅黑" w:hAnsi="微软雅黑" w:eastAsia="微软雅黑" w:cs="微软雅黑"/>
        <w:lang w:val="en-US" w:eastAsia="zh-CN"/>
      </w:rPr>
      <w:t>芜湖滨江文旅投资运营有限公司</w:t>
    </w:r>
    <w:r>
      <w:rPr>
        <w:rFonts w:hint="eastAsia" w:ascii="微软雅黑" w:hAnsi="微软雅黑" w:eastAsia="微软雅黑" w:cs="微软雅黑"/>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26D244BA"/>
    <w:multiLevelType w:val="singleLevel"/>
    <w:tmpl w:val="26D244B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E4B63E2"/>
    <w:rsid w:val="0E664FCA"/>
    <w:rsid w:val="0EAA4EB7"/>
    <w:rsid w:val="0F691AFB"/>
    <w:rsid w:val="10AE6120"/>
    <w:rsid w:val="113F222E"/>
    <w:rsid w:val="11437FDD"/>
    <w:rsid w:val="11A83E70"/>
    <w:rsid w:val="12606D73"/>
    <w:rsid w:val="12972340"/>
    <w:rsid w:val="130D0956"/>
    <w:rsid w:val="141D402A"/>
    <w:rsid w:val="142F15AD"/>
    <w:rsid w:val="148B75BC"/>
    <w:rsid w:val="149F2FE4"/>
    <w:rsid w:val="168460D8"/>
    <w:rsid w:val="171E63FC"/>
    <w:rsid w:val="18A63E03"/>
    <w:rsid w:val="19FD4A34"/>
    <w:rsid w:val="1BE3639A"/>
    <w:rsid w:val="1C5E514E"/>
    <w:rsid w:val="1D3E230B"/>
    <w:rsid w:val="1DCD24F2"/>
    <w:rsid w:val="1E2E78B2"/>
    <w:rsid w:val="1E843A1B"/>
    <w:rsid w:val="1F34435E"/>
    <w:rsid w:val="209156F1"/>
    <w:rsid w:val="209357F1"/>
    <w:rsid w:val="216D64F7"/>
    <w:rsid w:val="21DF4EA7"/>
    <w:rsid w:val="22981E84"/>
    <w:rsid w:val="229D2355"/>
    <w:rsid w:val="239035C1"/>
    <w:rsid w:val="24606C77"/>
    <w:rsid w:val="25461841"/>
    <w:rsid w:val="25577F9C"/>
    <w:rsid w:val="2B8101D0"/>
    <w:rsid w:val="2D692244"/>
    <w:rsid w:val="2DC10CE8"/>
    <w:rsid w:val="2DC5133A"/>
    <w:rsid w:val="2E4C209F"/>
    <w:rsid w:val="2F565974"/>
    <w:rsid w:val="303074BA"/>
    <w:rsid w:val="305D2645"/>
    <w:rsid w:val="314E1704"/>
    <w:rsid w:val="316F5DC0"/>
    <w:rsid w:val="321C75CA"/>
    <w:rsid w:val="326170DF"/>
    <w:rsid w:val="32694AB3"/>
    <w:rsid w:val="334141A4"/>
    <w:rsid w:val="340C668B"/>
    <w:rsid w:val="34187305"/>
    <w:rsid w:val="34AA5361"/>
    <w:rsid w:val="355E4031"/>
    <w:rsid w:val="362F633D"/>
    <w:rsid w:val="363E7C07"/>
    <w:rsid w:val="366C4B34"/>
    <w:rsid w:val="36C86A94"/>
    <w:rsid w:val="37C624B2"/>
    <w:rsid w:val="382F4FD4"/>
    <w:rsid w:val="3891486E"/>
    <w:rsid w:val="38B05B5E"/>
    <w:rsid w:val="3A347BA7"/>
    <w:rsid w:val="3C472D40"/>
    <w:rsid w:val="3CF04064"/>
    <w:rsid w:val="3CFD60B9"/>
    <w:rsid w:val="3E1C107E"/>
    <w:rsid w:val="3F5B53B7"/>
    <w:rsid w:val="3FBC28BF"/>
    <w:rsid w:val="3FF200B1"/>
    <w:rsid w:val="40336737"/>
    <w:rsid w:val="40D519B8"/>
    <w:rsid w:val="436D39AD"/>
    <w:rsid w:val="4384520B"/>
    <w:rsid w:val="44270FE3"/>
    <w:rsid w:val="442C7B41"/>
    <w:rsid w:val="44FF48D5"/>
    <w:rsid w:val="4683508A"/>
    <w:rsid w:val="4BCA1764"/>
    <w:rsid w:val="4BE42533"/>
    <w:rsid w:val="4C053274"/>
    <w:rsid w:val="4F8537C2"/>
    <w:rsid w:val="514E2DFA"/>
    <w:rsid w:val="52955A85"/>
    <w:rsid w:val="52A32E2E"/>
    <w:rsid w:val="55A726C6"/>
    <w:rsid w:val="567F7FA4"/>
    <w:rsid w:val="56CC6A99"/>
    <w:rsid w:val="571961BE"/>
    <w:rsid w:val="58490869"/>
    <w:rsid w:val="5A8470F4"/>
    <w:rsid w:val="5B476934"/>
    <w:rsid w:val="5DDA2B31"/>
    <w:rsid w:val="5F2E65C5"/>
    <w:rsid w:val="60256EF4"/>
    <w:rsid w:val="609F6CB1"/>
    <w:rsid w:val="60A76A75"/>
    <w:rsid w:val="60C14515"/>
    <w:rsid w:val="61C6472A"/>
    <w:rsid w:val="61E92E15"/>
    <w:rsid w:val="64C40159"/>
    <w:rsid w:val="684856D7"/>
    <w:rsid w:val="692D5480"/>
    <w:rsid w:val="694F6FE3"/>
    <w:rsid w:val="69A668E3"/>
    <w:rsid w:val="6B5D1C60"/>
    <w:rsid w:val="6BA10E9F"/>
    <w:rsid w:val="6BCE3108"/>
    <w:rsid w:val="6C867D2E"/>
    <w:rsid w:val="6DDB2AEC"/>
    <w:rsid w:val="6E277267"/>
    <w:rsid w:val="70052532"/>
    <w:rsid w:val="703A4906"/>
    <w:rsid w:val="70660DD2"/>
    <w:rsid w:val="711164E0"/>
    <w:rsid w:val="71E60A7F"/>
    <w:rsid w:val="720C1815"/>
    <w:rsid w:val="73202939"/>
    <w:rsid w:val="765E152C"/>
    <w:rsid w:val="768A2321"/>
    <w:rsid w:val="76B72234"/>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5">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6">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7">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8">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9">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10">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11">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2">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3">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line="240" w:lineRule="auto"/>
    </w:pPr>
    <w:rPr>
      <w:rFonts w:ascii="Times New Roman" w:hAnsi="Times New Roman"/>
      <w:szCs w:val="20"/>
    </w:rPr>
  </w:style>
  <w:style w:type="paragraph" w:styleId="3">
    <w:name w:val="Body Text Indent"/>
    <w:basedOn w:val="1"/>
    <w:next w:val="4"/>
    <w:link w:val="46"/>
    <w:autoRedefine/>
    <w:unhideWhenUsed/>
    <w:qFormat/>
    <w:uiPriority w:val="99"/>
    <w:pPr>
      <w:spacing w:after="120"/>
      <w:ind w:left="420" w:leftChars="200"/>
    </w:pPr>
  </w:style>
  <w:style w:type="paragraph" w:styleId="4">
    <w:name w:val="envelope return"/>
    <w:basedOn w:val="1"/>
    <w:autoRedefine/>
    <w:qFormat/>
    <w:uiPriority w:val="0"/>
    <w:rPr>
      <w:sz w:val="22"/>
      <w:szCs w:val="20"/>
      <w:lang w:val="en-GB" w:eastAsia="en-US"/>
    </w:rPr>
  </w:style>
  <w:style w:type="paragraph" w:styleId="14">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5">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6">
    <w:name w:val="Body Text 3"/>
    <w:basedOn w:val="1"/>
    <w:link w:val="50"/>
    <w:autoRedefine/>
    <w:semiHidden/>
    <w:unhideWhenUsed/>
    <w:qFormat/>
    <w:uiPriority w:val="99"/>
    <w:pPr>
      <w:spacing w:after="120"/>
    </w:pPr>
    <w:rPr>
      <w:sz w:val="16"/>
      <w:szCs w:val="16"/>
    </w:rPr>
  </w:style>
  <w:style w:type="paragraph" w:styleId="17">
    <w:name w:val="Body Text"/>
    <w:basedOn w:val="1"/>
    <w:link w:val="42"/>
    <w:autoRedefine/>
    <w:qFormat/>
    <w:uiPriority w:val="1"/>
    <w:rPr>
      <w:rFonts w:ascii="宋体" w:hAnsi="Arial"/>
      <w:sz w:val="28"/>
    </w:rPr>
  </w:style>
  <w:style w:type="paragraph" w:styleId="18">
    <w:name w:val="toc 3"/>
    <w:basedOn w:val="1"/>
    <w:next w:val="1"/>
    <w:autoRedefine/>
    <w:unhideWhenUsed/>
    <w:qFormat/>
    <w:uiPriority w:val="39"/>
    <w:pPr>
      <w:ind w:left="840" w:leftChars="400"/>
    </w:pPr>
  </w:style>
  <w:style w:type="paragraph" w:styleId="19">
    <w:name w:val="Plain Text"/>
    <w:basedOn w:val="1"/>
    <w:link w:val="48"/>
    <w:autoRedefine/>
    <w:qFormat/>
    <w:uiPriority w:val="0"/>
    <w:rPr>
      <w:rFonts w:ascii="宋体" w:hAnsi="Courier New"/>
    </w:rPr>
  </w:style>
  <w:style w:type="paragraph" w:styleId="20">
    <w:name w:val="Date"/>
    <w:basedOn w:val="1"/>
    <w:next w:val="1"/>
    <w:link w:val="51"/>
    <w:autoRedefine/>
    <w:qFormat/>
    <w:uiPriority w:val="0"/>
    <w:rPr>
      <w:b/>
      <w:sz w:val="28"/>
    </w:rPr>
  </w:style>
  <w:style w:type="paragraph" w:styleId="21">
    <w:name w:val="footer"/>
    <w:basedOn w:val="1"/>
    <w:link w:val="38"/>
    <w:autoRedefine/>
    <w:unhideWhenUsed/>
    <w:qFormat/>
    <w:uiPriority w:val="99"/>
    <w:pPr>
      <w:tabs>
        <w:tab w:val="center" w:pos="4153"/>
        <w:tab w:val="right" w:pos="8306"/>
      </w:tabs>
      <w:snapToGrid w:val="0"/>
    </w:pPr>
    <w:rPr>
      <w:sz w:val="18"/>
      <w:szCs w:val="18"/>
    </w:rPr>
  </w:style>
  <w:style w:type="paragraph" w:styleId="22">
    <w:name w:val="header"/>
    <w:basedOn w:val="1"/>
    <w:link w:val="37"/>
    <w:autoRedefine/>
    <w:unhideWhenUsed/>
    <w:qFormat/>
    <w:uiPriority w:val="0"/>
    <w:pP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5">
    <w:name w:val="List"/>
    <w:basedOn w:val="1"/>
    <w:autoRedefine/>
    <w:qFormat/>
    <w:uiPriority w:val="0"/>
    <w:pPr>
      <w:ind w:left="200" w:hanging="200" w:hangingChars="200"/>
    </w:pPr>
    <w:rPr>
      <w:rFonts w:ascii="Calibri" w:hAnsi="Calibri"/>
      <w:szCs w:val="22"/>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2"/>
    <w:autoRedefine/>
    <w:qFormat/>
    <w:uiPriority w:val="0"/>
    <w:rPr>
      <w:sz w:val="18"/>
      <w:szCs w:val="18"/>
    </w:rPr>
  </w:style>
  <w:style w:type="character" w:customStyle="1" w:styleId="38">
    <w:name w:val="页脚 字符"/>
    <w:basedOn w:val="31"/>
    <w:link w:val="21"/>
    <w:autoRedefine/>
    <w:qFormat/>
    <w:uiPriority w:val="99"/>
    <w:rPr>
      <w:sz w:val="18"/>
      <w:szCs w:val="18"/>
    </w:rPr>
  </w:style>
  <w:style w:type="character" w:customStyle="1" w:styleId="39">
    <w:name w:val="标题 1 字符"/>
    <w:basedOn w:val="31"/>
    <w:link w:val="5"/>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6"/>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7"/>
    <w:autoRedefine/>
    <w:qFormat/>
    <w:uiPriority w:val="0"/>
    <w:rPr>
      <w:rFonts w:ascii="宋体" w:hAnsi="Arial" w:eastAsia="宋体" w:cs="Times New Roman"/>
      <w:sz w:val="28"/>
      <w:szCs w:val="20"/>
      <w14:ligatures w14:val="none"/>
    </w:rPr>
  </w:style>
  <w:style w:type="paragraph" w:customStyle="1" w:styleId="43">
    <w:name w:val="D&amp;L"/>
    <w:basedOn w:val="2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3"/>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7"/>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9"/>
    <w:autoRedefine/>
    <w:qFormat/>
    <w:uiPriority w:val="0"/>
    <w:rPr>
      <w:rFonts w:ascii="宋体" w:hAnsi="Courier New" w:eastAsia="宋体" w:cs="Times New Roman"/>
      <w:szCs w:val="20"/>
      <w14:ligatures w14:val="none"/>
    </w:rPr>
  </w:style>
  <w:style w:type="character" w:customStyle="1" w:styleId="49">
    <w:name w:val="标题 4 字符"/>
    <w:basedOn w:val="31"/>
    <w:link w:val="8"/>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6"/>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0"/>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9"/>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10"/>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11"/>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2"/>
    <w:autoRedefine/>
    <w:semiHidden/>
    <w:qFormat/>
    <w:uiPriority w:val="9"/>
    <w:rPr>
      <w:rFonts w:asciiTheme="majorHAnsi" w:hAnsiTheme="majorHAnsi" w:eastAsiaTheme="majorEastAsia" w:cstheme="majorBidi"/>
      <w:caps/>
    </w:rPr>
  </w:style>
  <w:style w:type="character" w:customStyle="1" w:styleId="58">
    <w:name w:val="标题 9 字符"/>
    <w:basedOn w:val="31"/>
    <w:link w:val="13"/>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8"/>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4"/>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5"/>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16</Pages>
  <Words>5283</Words>
  <Characters>5622</Characters>
  <Lines>203</Lines>
  <Paragraphs>224</Paragraphs>
  <TotalTime>63</TotalTime>
  <ScaleCrop>false</ScaleCrop>
  <LinksUpToDate>false</LinksUpToDate>
  <CharactersWithSpaces>6279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What A Mess</cp:lastModifiedBy>
  <cp:lastPrinted>2024-01-30T08:05:00Z</cp:lastPrinted>
  <dcterms:modified xsi:type="dcterms:W3CDTF">2026-04-23T09:33:33Z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BC378C7FA9E94178BFB69B95508C7B4D_13</vt:lpwstr>
  </property>
  <property fmtid="{D5CDD505-2E9C-101B-9397-08002B2CF9AE}" pid="4" name="KSOTemplateDocerSaveRecord">
    <vt:lpwstr>eyJoZGlkIjoiY2U1MGYyODc2YjU1MmQ5MTI5ZTk5MzgxYTY1OTQ4NDgiLCJ1c2VySWQiOiIyNDM3MDYxMDIifQ==</vt:lpwstr>
  </property>
</Properties>
</file>