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4F32B">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招标</w:t>
      </w:r>
      <w:r>
        <w:rPr>
          <w:rFonts w:hint="eastAsia" w:ascii="方正小标宋简体" w:hAnsi="方正小标宋简体" w:eastAsia="方正小标宋简体" w:cs="方正小标宋简体"/>
          <w:b w:val="0"/>
          <w:bCs/>
          <w:sz w:val="44"/>
          <w:szCs w:val="44"/>
        </w:rPr>
        <w:t>文件</w:t>
      </w:r>
    </w:p>
    <w:p w14:paraId="5C7B7058">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一、</w:t>
      </w:r>
      <w:r>
        <w:rPr>
          <w:rFonts w:hint="eastAsia" w:ascii="黑体" w:hAnsi="黑体" w:eastAsia="黑体" w:cs="黑体"/>
          <w:b w:val="0"/>
          <w:bCs w:val="0"/>
          <w:sz w:val="24"/>
          <w:szCs w:val="24"/>
          <w:lang w:val="en-US" w:eastAsia="zh-CN"/>
        </w:rPr>
        <w:t>招标</w:t>
      </w:r>
      <w:r>
        <w:rPr>
          <w:rFonts w:hint="eastAsia" w:ascii="黑体" w:hAnsi="黑体" w:eastAsia="黑体" w:cs="黑体"/>
          <w:b w:val="0"/>
          <w:bCs w:val="0"/>
          <w:sz w:val="24"/>
          <w:szCs w:val="24"/>
        </w:rPr>
        <w:t>需求</w:t>
      </w:r>
    </w:p>
    <w:p w14:paraId="1441F4C5">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宋体" w:hAnsi="宋体"/>
          <w:sz w:val="24"/>
          <w:szCs w:val="24"/>
          <w:highlight w:val="none"/>
          <w:lang w:val="en-US" w:eastAsia="zh-CN"/>
        </w:rPr>
      </w:pPr>
      <w:r>
        <w:rPr>
          <w:rFonts w:hint="eastAsia" w:ascii="宋体" w:hAnsi="宋体"/>
          <w:sz w:val="24"/>
          <w:szCs w:val="24"/>
        </w:rPr>
        <w:t>1、</w:t>
      </w:r>
      <w:r>
        <w:rPr>
          <w:rFonts w:hint="eastAsia" w:ascii="宋体" w:hAnsi="宋体"/>
          <w:sz w:val="24"/>
          <w:szCs w:val="24"/>
          <w:lang w:val="en-US" w:eastAsia="zh-CN"/>
        </w:rPr>
        <w:t>招标人</w:t>
      </w:r>
      <w:r>
        <w:rPr>
          <w:rFonts w:hint="eastAsia" w:ascii="宋体" w:hAnsi="宋体"/>
          <w:sz w:val="24"/>
          <w:szCs w:val="24"/>
        </w:rPr>
        <w:t>：</w:t>
      </w:r>
      <w:r>
        <w:rPr>
          <w:rFonts w:hint="eastAsia" w:ascii="宋体" w:hAnsi="宋体"/>
          <w:sz w:val="24"/>
          <w:szCs w:val="24"/>
          <w:lang w:val="en-US" w:eastAsia="zh-CN"/>
        </w:rPr>
        <w:t xml:space="preserve"> </w:t>
      </w:r>
      <w:r>
        <w:rPr>
          <w:rFonts w:hint="eastAsia" w:ascii="宋体" w:hAnsi="宋体"/>
          <w:sz w:val="24"/>
          <w:szCs w:val="24"/>
          <w:highlight w:val="none"/>
          <w:lang w:val="en-US" w:eastAsia="zh-CN"/>
        </w:rPr>
        <w:t>芜湖滨江文旅投资运营有限公司</w:t>
      </w:r>
    </w:p>
    <w:p w14:paraId="480C06A6">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宋体" w:hAnsi="宋体"/>
          <w:sz w:val="24"/>
          <w:szCs w:val="24"/>
          <w:lang w:val="en-US" w:eastAsia="zh-CN"/>
        </w:rPr>
      </w:pPr>
      <w:r>
        <w:rPr>
          <w:rFonts w:hint="eastAsia" w:ascii="宋体" w:hAnsi="宋体"/>
          <w:sz w:val="24"/>
          <w:szCs w:val="24"/>
        </w:rPr>
        <w:t>2、项目名称：</w:t>
      </w:r>
      <w:r>
        <w:rPr>
          <w:rFonts w:hint="eastAsia" w:ascii="宋体" w:hAnsi="宋体"/>
          <w:sz w:val="24"/>
          <w:szCs w:val="24"/>
          <w:lang w:val="en-US" w:eastAsia="zh-CN"/>
        </w:rPr>
        <w:t>芜湖老船厂1900项目2#地块电表井桥架防火封堵</w:t>
      </w:r>
      <w:bookmarkStart w:id="27" w:name="_GoBack"/>
      <w:bookmarkEnd w:id="27"/>
      <w:r>
        <w:rPr>
          <w:rFonts w:hint="eastAsia" w:ascii="宋体" w:hAnsi="宋体"/>
          <w:sz w:val="24"/>
          <w:szCs w:val="24"/>
          <w:lang w:val="en-US" w:eastAsia="zh-CN"/>
        </w:rPr>
        <w:t>工程</w:t>
      </w:r>
    </w:p>
    <w:p w14:paraId="03E6831C">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default" w:ascii="宋体" w:hAnsi="宋体"/>
          <w:color w:val="FF0000"/>
          <w:sz w:val="24"/>
          <w:szCs w:val="24"/>
          <w:lang w:val="en-US" w:eastAsia="zh-CN"/>
        </w:rPr>
      </w:pPr>
      <w:r>
        <w:rPr>
          <w:rFonts w:hint="eastAsia" w:ascii="宋体" w:hAnsi="宋体"/>
          <w:sz w:val="24"/>
          <w:szCs w:val="24"/>
        </w:rPr>
        <w:t>3、项目概况：</w:t>
      </w:r>
      <w:r>
        <w:rPr>
          <w:rFonts w:hint="eastAsia" w:ascii="宋体" w:hAnsi="宋体"/>
          <w:sz w:val="24"/>
          <w:szCs w:val="24"/>
          <w:lang w:val="en-US" w:eastAsia="zh-CN"/>
        </w:rPr>
        <w:t>芜湖老船厂1900项目2#地块共7栋住宅楼，分别为1#楼（20层）、2#楼（17层）、3#楼（23层）、5#楼（23层）、6#楼（20层）、7#楼（18层）、8#楼（20层），除3#、7#楼各两个单元外，其余楼栋仅一个单元，每个单元包含一个强电竖井，竖井内自流平防火封堵共计182处。招标范围包含竖井内局管电缆穿楼板处自流平防火封堵、局管与自管桥架间防火隔板施工、包含但不限于原桥架拆除与恢复、原防火封堵的拆除、卫生打扫、垃圾清运及验收所需的一切费用等，详见工程量清单及现场施工样板附件。</w:t>
      </w:r>
    </w:p>
    <w:p w14:paraId="71FBC0A6">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default" w:ascii="宋体" w:hAnsi="宋体"/>
          <w:sz w:val="24"/>
          <w:szCs w:val="24"/>
          <w:lang w:val="en-US"/>
        </w:rPr>
      </w:pPr>
      <w:r>
        <w:rPr>
          <w:rFonts w:hint="eastAsia" w:ascii="宋体" w:hAnsi="宋体"/>
          <w:sz w:val="24"/>
          <w:szCs w:val="24"/>
        </w:rPr>
        <w:t>4、项目概算（招标控制价）</w:t>
      </w:r>
      <w:r>
        <w:rPr>
          <w:rFonts w:hint="eastAsia" w:ascii="宋体" w:hAnsi="宋体"/>
          <w:sz w:val="24"/>
          <w:szCs w:val="24"/>
          <w:lang w:val="en-US" w:eastAsia="zh-CN"/>
        </w:rPr>
        <w:t>：208650.13元（含9%税点）。</w:t>
      </w:r>
    </w:p>
    <w:p w14:paraId="50E5F4BF">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二、</w:t>
      </w:r>
      <w:r>
        <w:rPr>
          <w:rFonts w:hint="eastAsia" w:ascii="黑体" w:hAnsi="黑体" w:eastAsia="黑体" w:cs="黑体"/>
          <w:b w:val="0"/>
          <w:bCs w:val="0"/>
          <w:sz w:val="24"/>
          <w:szCs w:val="24"/>
          <w:lang w:val="en-US" w:eastAsia="zh-CN"/>
        </w:rPr>
        <w:t>投标人</w:t>
      </w:r>
      <w:r>
        <w:rPr>
          <w:rFonts w:hint="eastAsia" w:ascii="黑体" w:hAnsi="黑体" w:eastAsia="黑体" w:cs="黑体"/>
          <w:b w:val="0"/>
          <w:bCs w:val="0"/>
          <w:sz w:val="24"/>
          <w:szCs w:val="24"/>
        </w:rPr>
        <w:t>资格条件</w:t>
      </w:r>
    </w:p>
    <w:p w14:paraId="2C287F0F">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投标人</w:t>
      </w:r>
      <w:r>
        <w:rPr>
          <w:rFonts w:hint="eastAsia" w:ascii="宋体" w:hAnsi="宋体"/>
          <w:color w:val="000000" w:themeColor="text1"/>
          <w:sz w:val="24"/>
          <w:szCs w:val="24"/>
          <w14:textFill>
            <w14:solidFill>
              <w14:schemeClr w14:val="tx1"/>
            </w14:solidFill>
          </w14:textFill>
        </w:rPr>
        <w:t>须具备独立法人资格、具有有效的营业执照。</w:t>
      </w:r>
    </w:p>
    <w:p w14:paraId="020FCB59">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、本项目不接受联合体投标。</w:t>
      </w:r>
    </w:p>
    <w:p w14:paraId="482E5CED">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3、熟悉国网安徽省电力有限公司对防火封堵的验收要求，并提供至少1个合同额不低于20万的（防火封堵）项目业绩。</w:t>
      </w:r>
    </w:p>
    <w:p w14:paraId="5AB57C2D">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三、</w:t>
      </w:r>
      <w:r>
        <w:rPr>
          <w:rFonts w:hint="eastAsia" w:ascii="黑体" w:hAnsi="黑体" w:eastAsia="黑体" w:cs="黑体"/>
          <w:b w:val="0"/>
          <w:bCs w:val="0"/>
          <w:sz w:val="24"/>
          <w:szCs w:val="24"/>
          <w:lang w:val="en-US" w:eastAsia="zh-CN"/>
        </w:rPr>
        <w:t>评标</w:t>
      </w:r>
      <w:r>
        <w:rPr>
          <w:rFonts w:hint="eastAsia" w:ascii="黑体" w:hAnsi="黑体" w:eastAsia="黑体" w:cs="黑体"/>
          <w:b w:val="0"/>
          <w:bCs w:val="0"/>
          <w:sz w:val="24"/>
          <w:szCs w:val="24"/>
        </w:rPr>
        <w:t>方法（</w:t>
      </w:r>
      <w:r>
        <w:rPr>
          <w:rFonts w:hint="eastAsia" w:ascii="宋体" w:hAnsi="宋体"/>
          <w:b/>
          <w:sz w:val="24"/>
          <w:highlight w:val="none"/>
        </w:rPr>
        <w:t>综合评分法</w:t>
      </w:r>
      <w:r>
        <w:rPr>
          <w:rFonts w:hint="eastAsia" w:ascii="黑体" w:hAnsi="黑体" w:eastAsia="黑体" w:cs="黑体"/>
          <w:b w:val="0"/>
          <w:bCs w:val="0"/>
          <w:sz w:val="24"/>
          <w:szCs w:val="24"/>
        </w:rPr>
        <w:t>）</w:t>
      </w:r>
    </w:p>
    <w:p w14:paraId="4132F511">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sz w:val="24"/>
          <w:szCs w:val="24"/>
        </w:rPr>
      </w:pPr>
      <w:r>
        <w:rPr>
          <w:rFonts w:hint="eastAsia"/>
          <w:sz w:val="24"/>
          <w:szCs w:val="24"/>
        </w:rPr>
        <w:t>1、</w:t>
      </w:r>
      <w:r>
        <w:rPr>
          <w:rFonts w:hint="eastAsia"/>
          <w:sz w:val="24"/>
          <w:szCs w:val="24"/>
          <w:lang w:val="en-US" w:eastAsia="zh-CN"/>
        </w:rPr>
        <w:t>投标</w:t>
      </w:r>
      <w:r>
        <w:rPr>
          <w:rFonts w:hint="eastAsia"/>
          <w:sz w:val="24"/>
          <w:szCs w:val="24"/>
        </w:rPr>
        <w:t>人报价不得高于招标控制价，否则其报价无效。</w:t>
      </w:r>
    </w:p>
    <w:p w14:paraId="77F24ED5">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sz w:val="24"/>
          <w:szCs w:val="24"/>
        </w:rPr>
      </w:pPr>
      <w:r>
        <w:rPr>
          <w:rFonts w:hint="eastAsia"/>
          <w:sz w:val="24"/>
          <w:szCs w:val="24"/>
        </w:rPr>
        <w:t>2、经</w:t>
      </w:r>
      <w:r>
        <w:rPr>
          <w:rFonts w:hint="eastAsia"/>
          <w:sz w:val="24"/>
          <w:szCs w:val="24"/>
          <w:lang w:val="en-US" w:eastAsia="zh-CN"/>
        </w:rPr>
        <w:t>评标委员会</w:t>
      </w:r>
      <w:r>
        <w:rPr>
          <w:rFonts w:hint="eastAsia"/>
          <w:sz w:val="24"/>
          <w:szCs w:val="24"/>
        </w:rPr>
        <w:t>评审符合</w:t>
      </w:r>
      <w:r>
        <w:rPr>
          <w:rFonts w:hint="eastAsia"/>
          <w:sz w:val="24"/>
          <w:szCs w:val="24"/>
          <w:lang w:val="en-US" w:eastAsia="zh-CN"/>
        </w:rPr>
        <w:t>询价</w:t>
      </w:r>
      <w:r>
        <w:rPr>
          <w:rFonts w:hint="eastAsia"/>
          <w:sz w:val="24"/>
          <w:szCs w:val="24"/>
        </w:rPr>
        <w:t>文件规定条件的有效</w:t>
      </w:r>
      <w:r>
        <w:rPr>
          <w:rFonts w:hint="eastAsia"/>
          <w:sz w:val="24"/>
          <w:szCs w:val="24"/>
          <w:lang w:val="en-US" w:eastAsia="zh-CN"/>
        </w:rPr>
        <w:t>投标人</w:t>
      </w:r>
      <w:r>
        <w:rPr>
          <w:rFonts w:hint="eastAsia"/>
          <w:sz w:val="24"/>
          <w:szCs w:val="24"/>
        </w:rPr>
        <w:t>如低于三家，则本次招标流标（另行重新组织</w:t>
      </w:r>
      <w:r>
        <w:rPr>
          <w:rFonts w:hint="eastAsia"/>
          <w:sz w:val="24"/>
          <w:szCs w:val="24"/>
          <w:lang w:val="en-US" w:eastAsia="zh-CN"/>
        </w:rPr>
        <w:t>询价</w:t>
      </w:r>
      <w:r>
        <w:rPr>
          <w:rFonts w:hint="eastAsia"/>
          <w:sz w:val="24"/>
          <w:szCs w:val="24"/>
        </w:rPr>
        <w:t>）。</w:t>
      </w:r>
    </w:p>
    <w:p w14:paraId="333F27B9">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sz w:val="24"/>
          <w:szCs w:val="24"/>
        </w:rPr>
      </w:pPr>
      <w:r>
        <w:rPr>
          <w:rFonts w:hint="eastAsia"/>
          <w:sz w:val="24"/>
          <w:szCs w:val="24"/>
        </w:rPr>
        <w:t>3、</w:t>
      </w:r>
      <w:r>
        <w:rPr>
          <w:rFonts w:hint="eastAsia" w:ascii="Times New Roman" w:hAnsi="Times New Roman" w:eastAsia="宋体" w:cs="Times New Roman"/>
          <w:sz w:val="24"/>
          <w:szCs w:val="24"/>
          <w:lang w:val="en-US" w:eastAsia="zh-CN"/>
        </w:rPr>
        <w:t>评标委员会对投标文件按照规定的评审标准和评标程序进行评审，并按综合得分由高到低依次排序，排名第一的为中标候选人。</w:t>
      </w:r>
    </w:p>
    <w:p w14:paraId="4A075FFE">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四、投标文件递交</w:t>
      </w:r>
    </w:p>
    <w:p w14:paraId="256A5334">
      <w:pPr>
        <w:pStyle w:val="13"/>
        <w:keepNext w:val="0"/>
        <w:keepLines w:val="0"/>
        <w:pageBreakBefore w:val="0"/>
        <w:widowControl w:val="0"/>
        <w:kinsoku/>
        <w:wordWrap/>
        <w:overflowPunct/>
        <w:topLinePunct w:val="0"/>
        <w:bidi w:val="0"/>
        <w:snapToGrid/>
        <w:spacing w:line="360" w:lineRule="auto"/>
        <w:textAlignment w:val="auto"/>
        <w:rPr>
          <w:rFonts w:hint="eastAsia"/>
          <w:color w:val="auto"/>
          <w:sz w:val="24"/>
          <w:szCs w:val="24"/>
          <w:lang w:eastAsia="zh-CN"/>
        </w:rPr>
      </w:pPr>
      <w:r>
        <w:rPr>
          <w:rFonts w:hint="eastAsia"/>
          <w:color w:val="auto"/>
          <w:sz w:val="24"/>
          <w:szCs w:val="24"/>
        </w:rPr>
        <w:t>1、</w:t>
      </w:r>
      <w:r>
        <w:rPr>
          <w:rFonts w:hint="eastAsia"/>
          <w:color w:val="auto"/>
          <w:sz w:val="24"/>
          <w:szCs w:val="24"/>
          <w:lang w:val="en-US" w:eastAsia="zh-CN"/>
        </w:rPr>
        <w:t>投标</w:t>
      </w:r>
      <w:r>
        <w:rPr>
          <w:rFonts w:hint="eastAsia"/>
          <w:color w:val="auto"/>
          <w:sz w:val="24"/>
          <w:szCs w:val="24"/>
        </w:rPr>
        <w:t>文件应包括</w:t>
      </w:r>
      <w:r>
        <w:rPr>
          <w:rFonts w:hint="eastAsia"/>
          <w:color w:val="auto"/>
          <w:sz w:val="24"/>
          <w:szCs w:val="24"/>
          <w:lang w:eastAsia="zh-CN"/>
        </w:rPr>
        <w:t>：</w:t>
      </w:r>
    </w:p>
    <w:p w14:paraId="25587606">
      <w:pPr>
        <w:pStyle w:val="1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（一）报名材料</w:t>
      </w:r>
    </w:p>
    <w:p w14:paraId="2B2CE22E">
      <w:pPr>
        <w:pStyle w:val="1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1.投标函 加盖公章；</w:t>
      </w:r>
    </w:p>
    <w:p w14:paraId="1122E5ED">
      <w:pPr>
        <w:pStyle w:val="1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w:t>
      </w:r>
      <w:r>
        <w:rPr>
          <w:rFonts w:hint="eastAsia" w:ascii="宋体" w:hAnsi="宋体" w:cs="Times New Roman"/>
          <w:color w:val="auto"/>
          <w:kern w:val="2"/>
          <w:sz w:val="24"/>
          <w:szCs w:val="24"/>
          <w:lang w:val="en-US" w:eastAsia="zh-CN" w:bidi="ar-SA"/>
        </w:rPr>
        <w:t>营业执照</w:t>
      </w:r>
      <w:r>
        <w:rPr>
          <w:rFonts w:hint="eastAsia" w:ascii="宋体" w:hAnsi="宋体" w:eastAsia="宋体" w:cs="Times New Roman"/>
          <w:color w:val="auto"/>
          <w:kern w:val="2"/>
          <w:sz w:val="24"/>
          <w:szCs w:val="24"/>
          <w:lang w:val="en-US" w:eastAsia="zh-CN" w:bidi="ar-SA"/>
        </w:rPr>
        <w:t xml:space="preserve"> 加盖公章；</w:t>
      </w:r>
    </w:p>
    <w:p w14:paraId="114965E1">
      <w:pPr>
        <w:pStyle w:val="1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3.法人授权委托书 加盖公章；</w:t>
      </w:r>
    </w:p>
    <w:p w14:paraId="72E57EB4">
      <w:pPr>
        <w:pStyle w:val="1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4.投标人信用承诺函 加盖公章。</w:t>
      </w:r>
    </w:p>
    <w:p w14:paraId="54940F2A">
      <w:pPr>
        <w:pStyle w:val="13"/>
        <w:keepNext w:val="0"/>
        <w:keepLines w:val="0"/>
        <w:pageBreakBefore w:val="0"/>
        <w:widowControl w:val="0"/>
        <w:kinsoku/>
        <w:wordWrap/>
        <w:overflowPunct/>
        <w:topLinePunct w:val="0"/>
        <w:bidi w:val="0"/>
        <w:snapToGrid/>
        <w:spacing w:line="360" w:lineRule="auto"/>
        <w:textAlignment w:val="auto"/>
        <w:rPr>
          <w:rFonts w:hint="default" w:ascii="宋体" w:hAnsi="宋体" w:eastAsia="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 xml:space="preserve">5.项目负责人社保证明 </w:t>
      </w:r>
      <w:r>
        <w:rPr>
          <w:rFonts w:hint="eastAsia" w:ascii="宋体" w:hAnsi="宋体" w:eastAsia="宋体" w:cs="Times New Roman"/>
          <w:color w:val="auto"/>
          <w:kern w:val="2"/>
          <w:sz w:val="24"/>
          <w:szCs w:val="24"/>
          <w:lang w:val="en-US" w:eastAsia="zh-CN" w:bidi="ar-SA"/>
        </w:rPr>
        <w:t>加盖公章。</w:t>
      </w:r>
    </w:p>
    <w:p w14:paraId="6125330E">
      <w:pPr>
        <w:pStyle w:val="13"/>
        <w:keepNext w:val="0"/>
        <w:keepLines w:val="0"/>
        <w:pageBreakBefore w:val="0"/>
        <w:widowControl w:val="0"/>
        <w:kinsoku/>
        <w:wordWrap/>
        <w:overflowPunct/>
        <w:topLinePunct w:val="0"/>
        <w:bidi w:val="0"/>
        <w:snapToGrid/>
        <w:spacing w:line="360" w:lineRule="auto"/>
        <w:textAlignment w:val="auto"/>
        <w:rPr>
          <w:rFonts w:hint="eastAsia" w:ascii="宋体" w:hAnsi="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（二）技术</w:t>
      </w:r>
      <w:r>
        <w:rPr>
          <w:rFonts w:hint="eastAsia" w:ascii="宋体" w:hAnsi="宋体" w:cs="Times New Roman"/>
          <w:color w:val="auto"/>
          <w:kern w:val="2"/>
          <w:sz w:val="24"/>
          <w:szCs w:val="24"/>
          <w:lang w:val="en-US" w:eastAsia="zh-CN" w:bidi="ar-SA"/>
        </w:rPr>
        <w:t>标</w:t>
      </w:r>
    </w:p>
    <w:p w14:paraId="7F2B0E16">
      <w:pPr>
        <w:pStyle w:val="13"/>
        <w:keepNext w:val="0"/>
        <w:keepLines w:val="0"/>
        <w:pageBreakBefore w:val="0"/>
        <w:widowControl w:val="0"/>
        <w:kinsoku/>
        <w:wordWrap/>
        <w:overflowPunct/>
        <w:topLinePunct w:val="0"/>
        <w:bidi w:val="0"/>
        <w:snapToGrid/>
        <w:spacing w:line="360" w:lineRule="auto"/>
        <w:textAlignment w:val="auto"/>
        <w:rPr>
          <w:rFonts w:hint="eastAsia" w:ascii="宋体" w:hAnsi="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w:t>
      </w:r>
      <w:r>
        <w:rPr>
          <w:rFonts w:hint="eastAsia" w:ascii="宋体" w:hAnsi="宋体" w:cs="Times New Roman"/>
          <w:color w:val="auto"/>
          <w:kern w:val="2"/>
          <w:sz w:val="24"/>
          <w:szCs w:val="24"/>
          <w:lang w:val="en-US" w:eastAsia="zh-CN" w:bidi="ar-SA"/>
        </w:rPr>
        <w:t>施工</w:t>
      </w:r>
      <w:r>
        <w:rPr>
          <w:rFonts w:hint="eastAsia" w:ascii="宋体" w:hAnsi="宋体" w:eastAsia="宋体" w:cs="Times New Roman"/>
          <w:color w:val="auto"/>
          <w:kern w:val="2"/>
          <w:sz w:val="24"/>
          <w:szCs w:val="24"/>
          <w:lang w:val="en-US" w:eastAsia="zh-CN" w:bidi="ar-SA"/>
        </w:rPr>
        <w:t>方案 加盖公章;</w:t>
      </w:r>
    </w:p>
    <w:p w14:paraId="69BC2BF4">
      <w:pPr>
        <w:pStyle w:val="13"/>
        <w:keepNext w:val="0"/>
        <w:keepLines w:val="0"/>
        <w:pageBreakBefore w:val="0"/>
        <w:widowControl w:val="0"/>
        <w:kinsoku/>
        <w:wordWrap/>
        <w:overflowPunct/>
        <w:topLinePunct w:val="0"/>
        <w:bidi w:val="0"/>
        <w:snapToGrid/>
        <w:spacing w:line="360" w:lineRule="auto"/>
        <w:textAlignment w:val="auto"/>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（三）</w:t>
      </w:r>
      <w:r>
        <w:rPr>
          <w:rFonts w:hint="eastAsia" w:ascii="宋体" w:hAnsi="宋体" w:cs="Times New Roman"/>
          <w:color w:val="auto"/>
          <w:kern w:val="2"/>
          <w:sz w:val="24"/>
          <w:szCs w:val="24"/>
          <w:lang w:val="en-US" w:eastAsia="zh-CN" w:bidi="ar-SA"/>
        </w:rPr>
        <w:t>商务标</w:t>
      </w:r>
    </w:p>
    <w:p w14:paraId="102724C3">
      <w:pPr>
        <w:pStyle w:val="1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1</w:t>
      </w:r>
      <w:r>
        <w:rPr>
          <w:rFonts w:hint="eastAsia" w:ascii="宋体" w:hAnsi="宋体" w:eastAsia="宋体" w:cs="Times New Roman"/>
          <w:color w:val="auto"/>
          <w:kern w:val="2"/>
          <w:sz w:val="24"/>
          <w:szCs w:val="24"/>
          <w:lang w:val="en-US" w:eastAsia="zh-CN" w:bidi="ar-SA"/>
        </w:rPr>
        <w:t>.公司资质证明文件 加盖公章；</w:t>
      </w:r>
    </w:p>
    <w:p w14:paraId="632BF764">
      <w:pPr>
        <w:pStyle w:val="1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2</w:t>
      </w:r>
      <w:r>
        <w:rPr>
          <w:rFonts w:hint="eastAsia" w:ascii="宋体" w:hAnsi="宋体" w:eastAsia="宋体" w:cs="Times New Roman"/>
          <w:color w:val="auto"/>
          <w:kern w:val="2"/>
          <w:sz w:val="24"/>
          <w:szCs w:val="24"/>
          <w:lang w:val="en-US" w:eastAsia="zh-CN" w:bidi="ar-SA"/>
        </w:rPr>
        <w:t>.</w:t>
      </w:r>
      <w:r>
        <w:rPr>
          <w:rFonts w:hint="eastAsia" w:ascii="宋体" w:hAnsi="宋体" w:cs="Times New Roman"/>
          <w:color w:val="auto"/>
          <w:kern w:val="2"/>
          <w:sz w:val="24"/>
          <w:szCs w:val="24"/>
          <w:lang w:val="en-US" w:eastAsia="zh-CN" w:bidi="ar-SA"/>
        </w:rPr>
        <w:t>投标人业绩</w:t>
      </w:r>
      <w:r>
        <w:rPr>
          <w:rFonts w:hint="eastAsia" w:ascii="宋体" w:hAnsi="宋体" w:eastAsia="宋体" w:cs="Times New Roman"/>
          <w:color w:val="auto"/>
          <w:kern w:val="2"/>
          <w:sz w:val="24"/>
          <w:szCs w:val="24"/>
          <w:lang w:val="en-US" w:eastAsia="zh-CN" w:bidi="ar-SA"/>
        </w:rPr>
        <w:t xml:space="preserve"> 加盖公章；</w:t>
      </w:r>
    </w:p>
    <w:p w14:paraId="7A6878E1">
      <w:pPr>
        <w:pStyle w:val="1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3</w:t>
      </w:r>
      <w:r>
        <w:rPr>
          <w:rFonts w:hint="eastAsia" w:ascii="宋体" w:hAnsi="宋体" w:eastAsia="宋体" w:cs="Times New Roman"/>
          <w:color w:val="auto"/>
          <w:kern w:val="2"/>
          <w:sz w:val="24"/>
          <w:szCs w:val="24"/>
          <w:lang w:val="en-US" w:eastAsia="zh-CN" w:bidi="ar-SA"/>
        </w:rPr>
        <w:t>.公司注册资金证明文件 加盖公章；</w:t>
      </w:r>
    </w:p>
    <w:p w14:paraId="739B51FA">
      <w:pPr>
        <w:pStyle w:val="13"/>
        <w:keepNext w:val="0"/>
        <w:keepLines w:val="0"/>
        <w:pageBreakBefore w:val="0"/>
        <w:widowControl w:val="0"/>
        <w:kinsoku/>
        <w:wordWrap/>
        <w:overflowPunct/>
        <w:topLinePunct w:val="0"/>
        <w:bidi w:val="0"/>
        <w:snapToGrid/>
        <w:spacing w:line="360" w:lineRule="auto"/>
        <w:textAlignment w:val="auto"/>
        <w:rPr>
          <w:rFonts w:hint="eastAsia" w:ascii="宋体" w:hAnsi="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（四）报价文件</w:t>
      </w:r>
    </w:p>
    <w:p w14:paraId="21656A54">
      <w:pPr>
        <w:pStyle w:val="1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1.清单报价 加盖公章。</w:t>
      </w:r>
    </w:p>
    <w:p w14:paraId="26F9E767">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（五）投标要求</w:t>
      </w:r>
    </w:p>
    <w:p w14:paraId="1C8EB6BC">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sz w:val="24"/>
          <w:szCs w:val="24"/>
        </w:rPr>
      </w:pPr>
      <w:r>
        <w:rPr>
          <w:rFonts w:hint="eastAsia"/>
          <w:sz w:val="24"/>
          <w:szCs w:val="24"/>
          <w:lang w:val="en-US" w:eastAsia="zh-CN"/>
        </w:rPr>
        <w:t>1.</w:t>
      </w:r>
      <w:r>
        <w:rPr>
          <w:rFonts w:hint="eastAsia" w:ascii="宋体" w:hAnsi="宋体" w:eastAsia="宋体" w:cs="Times New Roman"/>
          <w:kern w:val="2"/>
          <w:sz w:val="24"/>
          <w:szCs w:val="24"/>
          <w:lang w:val="en-US" w:eastAsia="zh-CN" w:bidi="ar-SA"/>
        </w:rPr>
        <w:t>投标人应按本招标文件“招投标日程表”规定的时间、地点，向招标人密封</w:t>
      </w:r>
      <w:r>
        <w:rPr>
          <w:rFonts w:hint="eastAsia"/>
          <w:sz w:val="24"/>
          <w:szCs w:val="24"/>
        </w:rPr>
        <w:t>提交</w:t>
      </w:r>
      <w:r>
        <w:rPr>
          <w:rFonts w:hint="eastAsia"/>
          <w:b/>
          <w:bCs/>
          <w:sz w:val="24"/>
          <w:szCs w:val="24"/>
        </w:rPr>
        <w:t>密封</w:t>
      </w:r>
      <w:r>
        <w:rPr>
          <w:rFonts w:hint="eastAsia"/>
          <w:b/>
          <w:bCs/>
          <w:sz w:val="24"/>
          <w:szCs w:val="24"/>
          <w:lang w:val="en-US" w:eastAsia="zh-CN"/>
        </w:rPr>
        <w:t>且盖章</w:t>
      </w:r>
      <w:r>
        <w:rPr>
          <w:rFonts w:hint="eastAsia"/>
          <w:b w:val="0"/>
          <w:bCs w:val="0"/>
          <w:sz w:val="24"/>
          <w:szCs w:val="24"/>
          <w:lang w:val="en-US" w:eastAsia="zh-CN"/>
        </w:rPr>
        <w:t>的</w:t>
      </w:r>
      <w:r>
        <w:rPr>
          <w:rFonts w:hint="eastAsia"/>
          <w:sz w:val="24"/>
          <w:szCs w:val="24"/>
          <w:lang w:val="en-US" w:eastAsia="zh-CN"/>
        </w:rPr>
        <w:t>投标</w:t>
      </w:r>
      <w:r>
        <w:rPr>
          <w:rFonts w:hint="eastAsia"/>
          <w:sz w:val="24"/>
          <w:szCs w:val="24"/>
        </w:rPr>
        <w:t>文件</w:t>
      </w:r>
      <w:r>
        <w:rPr>
          <w:rFonts w:hint="eastAsia"/>
          <w:sz w:val="24"/>
          <w:szCs w:val="24"/>
          <w:lang w:eastAsia="zh-CN"/>
        </w:rPr>
        <w:t>，</w:t>
      </w:r>
      <w:r>
        <w:rPr>
          <w:rFonts w:hint="eastAsia"/>
          <w:sz w:val="24"/>
          <w:szCs w:val="24"/>
          <w:lang w:val="en-US" w:eastAsia="zh-CN"/>
        </w:rPr>
        <w:t>内容包含报名材料、技术标、商务标</w:t>
      </w:r>
      <w:r>
        <w:rPr>
          <w:rFonts w:hint="eastAsia"/>
          <w:sz w:val="24"/>
          <w:szCs w:val="24"/>
        </w:rPr>
        <w:t>。</w:t>
      </w:r>
    </w:p>
    <w:p w14:paraId="1894FEE6">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sz w:val="24"/>
          <w:szCs w:val="24"/>
        </w:rPr>
      </w:pPr>
      <w:r>
        <w:rPr>
          <w:rFonts w:hint="eastAsia" w:ascii="Times New Roman" w:hAnsi="Times New Roman" w:eastAsia="宋体" w:cs="Times New Roman"/>
          <w:sz w:val="24"/>
          <w:szCs w:val="24"/>
          <w:lang w:val="en-US" w:eastAsia="zh-CN"/>
        </w:rPr>
        <w:t>2.开标：投标截止后立即进行开标。具体开标时间、地点详见本招标文件“招投标日程表”。在开评标过程中，若投标人投标报价与招标控制价相比降幅过小，或投标人投标报价明显缺乏竞争性的，评标小组可以否决所有投标。</w:t>
      </w:r>
    </w:p>
    <w:p w14:paraId="3F1BE3C1">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lang w:val="en-US" w:eastAsia="zh-CN"/>
        </w:rPr>
        <w:t>五、</w:t>
      </w:r>
      <w:r>
        <w:rPr>
          <w:rFonts w:hint="eastAsia" w:ascii="黑体" w:hAnsi="黑体" w:eastAsia="黑体" w:cs="黑体"/>
          <w:b w:val="0"/>
          <w:bCs w:val="0"/>
          <w:sz w:val="24"/>
          <w:szCs w:val="24"/>
        </w:rPr>
        <w:t>有下列情况之一者，投标文件无效</w:t>
      </w:r>
    </w:p>
    <w:p w14:paraId="0B372E93">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sz w:val="24"/>
          <w:szCs w:val="24"/>
        </w:rPr>
      </w:pPr>
      <w:r>
        <w:rPr>
          <w:rFonts w:hint="eastAsia"/>
          <w:sz w:val="24"/>
          <w:szCs w:val="24"/>
        </w:rPr>
        <w:t>1、</w:t>
      </w:r>
      <w:r>
        <w:rPr>
          <w:rFonts w:hint="eastAsia"/>
          <w:sz w:val="24"/>
          <w:szCs w:val="24"/>
          <w:lang w:val="en-US" w:eastAsia="zh-CN"/>
        </w:rPr>
        <w:t>投标人名称与营业执照或资质证明文件不一致</w:t>
      </w:r>
      <w:r>
        <w:rPr>
          <w:rFonts w:hint="eastAsia"/>
          <w:sz w:val="24"/>
          <w:szCs w:val="24"/>
        </w:rPr>
        <w:t>；有编制技术错误的</w:t>
      </w:r>
      <w:r>
        <w:rPr>
          <w:rFonts w:hint="eastAsia"/>
          <w:sz w:val="24"/>
          <w:szCs w:val="24"/>
          <w:lang w:eastAsia="zh-CN"/>
        </w:rPr>
        <w:t>；</w:t>
      </w:r>
    </w:p>
    <w:p w14:paraId="26DA3C9E">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sz w:val="24"/>
          <w:szCs w:val="24"/>
          <w:lang w:val="en-US" w:eastAsia="zh-CN"/>
        </w:rPr>
      </w:pPr>
      <w:r>
        <w:rPr>
          <w:rFonts w:hint="eastAsia"/>
          <w:sz w:val="24"/>
          <w:szCs w:val="24"/>
        </w:rPr>
        <w:t>2、未按照招标文件要求封装</w:t>
      </w:r>
      <w:r>
        <w:rPr>
          <w:rFonts w:hint="eastAsia"/>
          <w:sz w:val="24"/>
          <w:szCs w:val="24"/>
          <w:lang w:val="en-US" w:eastAsia="zh-CN"/>
        </w:rPr>
        <w:t>或加盖公章的；</w:t>
      </w:r>
    </w:p>
    <w:p w14:paraId="51B7FF39">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sz w:val="24"/>
          <w:szCs w:val="24"/>
        </w:rPr>
      </w:pPr>
      <w:r>
        <w:rPr>
          <w:rFonts w:hint="eastAsia"/>
          <w:sz w:val="24"/>
          <w:szCs w:val="24"/>
        </w:rPr>
        <w:t>3、不能满足</w:t>
      </w:r>
      <w:r>
        <w:rPr>
          <w:rFonts w:hint="eastAsia"/>
          <w:sz w:val="24"/>
          <w:szCs w:val="24"/>
          <w:lang w:eastAsia="zh-CN"/>
        </w:rPr>
        <w:t>招标人</w:t>
      </w:r>
      <w:r>
        <w:rPr>
          <w:rFonts w:hint="eastAsia"/>
          <w:sz w:val="24"/>
          <w:szCs w:val="24"/>
          <w:lang w:val="en-US" w:eastAsia="zh-CN"/>
        </w:rPr>
        <w:t>工期</w:t>
      </w:r>
      <w:r>
        <w:rPr>
          <w:rFonts w:hint="eastAsia"/>
          <w:sz w:val="24"/>
          <w:szCs w:val="24"/>
        </w:rPr>
        <w:t>要求的；</w:t>
      </w:r>
    </w:p>
    <w:p w14:paraId="2F9A218F">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sz w:val="24"/>
          <w:szCs w:val="24"/>
        </w:rPr>
      </w:pPr>
      <w:r>
        <w:rPr>
          <w:rFonts w:hint="eastAsia"/>
          <w:sz w:val="24"/>
          <w:szCs w:val="24"/>
        </w:rPr>
        <w:t>4、</w:t>
      </w:r>
      <w:r>
        <w:rPr>
          <w:rFonts w:hint="eastAsia"/>
          <w:sz w:val="24"/>
          <w:szCs w:val="24"/>
          <w:lang w:val="en-US" w:eastAsia="zh-CN"/>
        </w:rPr>
        <w:t>投标人</w:t>
      </w:r>
      <w:r>
        <w:rPr>
          <w:rFonts w:hint="eastAsia"/>
          <w:sz w:val="24"/>
          <w:szCs w:val="24"/>
        </w:rPr>
        <w:t>所提供的证书和资料经查有弄虚作假行为的；</w:t>
      </w:r>
    </w:p>
    <w:p w14:paraId="5C86FC66">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sz w:val="24"/>
          <w:szCs w:val="24"/>
        </w:rPr>
      </w:pPr>
      <w:r>
        <w:rPr>
          <w:rFonts w:hint="eastAsia"/>
          <w:sz w:val="24"/>
          <w:szCs w:val="24"/>
        </w:rPr>
        <w:t>5 、投标单位在一份投标文件中，报有两个或多个报价，且未书面声明以哪个报价为准；</w:t>
      </w:r>
    </w:p>
    <w:p w14:paraId="2D595881">
      <w:pPr>
        <w:keepNext w:val="0"/>
        <w:keepLines w:val="0"/>
        <w:pageBreakBefore w:val="0"/>
        <w:widowControl w:val="0"/>
        <w:numPr>
          <w:ilvl w:val="0"/>
          <w:numId w:val="1"/>
        </w:numPr>
        <w:kinsoku/>
        <w:wordWrap/>
        <w:overflowPunct/>
        <w:topLinePunct w:val="0"/>
        <w:bidi w:val="0"/>
        <w:snapToGrid/>
        <w:spacing w:line="560" w:lineRule="exact"/>
        <w:ind w:firstLine="480" w:firstLineChars="200"/>
        <w:textAlignment w:val="auto"/>
        <w:rPr>
          <w:rFonts w:hint="eastAsia"/>
          <w:sz w:val="24"/>
          <w:szCs w:val="24"/>
        </w:rPr>
      </w:pPr>
      <w:r>
        <w:rPr>
          <w:rFonts w:hint="eastAsia"/>
          <w:sz w:val="24"/>
          <w:szCs w:val="24"/>
        </w:rPr>
        <w:t>其他未能实质性响应招标文件的</w:t>
      </w:r>
      <w:r>
        <w:rPr>
          <w:rFonts w:hint="eastAsia"/>
          <w:sz w:val="24"/>
          <w:szCs w:val="24"/>
          <w:lang w:eastAsia="zh-CN"/>
        </w:rPr>
        <w:t>；</w:t>
      </w:r>
    </w:p>
    <w:p w14:paraId="6309C614">
      <w:pPr>
        <w:keepNext w:val="0"/>
        <w:keepLines w:val="0"/>
        <w:pageBreakBefore w:val="0"/>
        <w:widowControl w:val="0"/>
        <w:numPr>
          <w:ilvl w:val="0"/>
          <w:numId w:val="0"/>
        </w:numPr>
        <w:kinsoku/>
        <w:wordWrap/>
        <w:overflowPunct/>
        <w:topLinePunct w:val="0"/>
        <w:bidi w:val="0"/>
        <w:snapToGrid/>
        <w:spacing w:line="560" w:lineRule="exact"/>
        <w:ind w:leftChars="200"/>
        <w:textAlignment w:val="auto"/>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六</w:t>
      </w:r>
      <w:r>
        <w:rPr>
          <w:rFonts w:hint="eastAsia" w:ascii="黑体" w:hAnsi="黑体" w:eastAsia="黑体" w:cs="黑体"/>
          <w:b w:val="0"/>
          <w:bCs w:val="0"/>
          <w:color w:val="000000" w:themeColor="text1"/>
          <w:sz w:val="24"/>
          <w:szCs w:val="24"/>
          <w14:textFill>
            <w14:solidFill>
              <w14:schemeClr w14:val="tx1"/>
            </w14:solidFill>
          </w14:textFill>
        </w:rPr>
        <w:t>、废标处理</w:t>
      </w:r>
    </w:p>
    <w:p w14:paraId="57DA90D0">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在招标采购中，出现下列情形之一的，</w:t>
      </w:r>
      <w:r>
        <w:rPr>
          <w:rFonts w:hint="eastAsia"/>
          <w:color w:val="000000" w:themeColor="text1"/>
          <w:sz w:val="24"/>
          <w:szCs w:val="24"/>
          <w:lang w:eastAsia="zh-CN"/>
          <w14:textFill>
            <w14:solidFill>
              <w14:schemeClr w14:val="tx1"/>
            </w14:solidFill>
          </w14:textFill>
        </w:rPr>
        <w:t>招标人</w:t>
      </w:r>
      <w:r>
        <w:rPr>
          <w:rFonts w:hint="eastAsia"/>
          <w:color w:val="000000" w:themeColor="text1"/>
          <w:sz w:val="24"/>
          <w:szCs w:val="24"/>
          <w14:textFill>
            <w14:solidFill>
              <w14:schemeClr w14:val="tx1"/>
            </w14:solidFill>
          </w14:textFill>
        </w:rPr>
        <w:t>有权宣布废标：</w:t>
      </w:r>
    </w:p>
    <w:p w14:paraId="13C7ADA3">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1、符合专业条件的</w:t>
      </w:r>
      <w:r>
        <w:rPr>
          <w:rFonts w:hint="eastAsia"/>
          <w:color w:val="000000" w:themeColor="text1"/>
          <w:sz w:val="24"/>
          <w:szCs w:val="24"/>
          <w:lang w:eastAsia="zh-CN"/>
          <w14:textFill>
            <w14:solidFill>
              <w14:schemeClr w14:val="tx1"/>
            </w14:solidFill>
          </w14:textFill>
        </w:rPr>
        <w:t>投标人</w:t>
      </w:r>
      <w:r>
        <w:rPr>
          <w:rFonts w:hint="eastAsia"/>
          <w:color w:val="000000" w:themeColor="text1"/>
          <w:sz w:val="24"/>
          <w:szCs w:val="24"/>
          <w14:textFill>
            <w14:solidFill>
              <w14:schemeClr w14:val="tx1"/>
            </w14:solidFill>
          </w14:textFill>
        </w:rPr>
        <w:t>或对招标文件作实质响应的</w:t>
      </w:r>
      <w:r>
        <w:rPr>
          <w:rFonts w:hint="eastAsia"/>
          <w:color w:val="000000" w:themeColor="text1"/>
          <w:sz w:val="24"/>
          <w:szCs w:val="24"/>
          <w:lang w:eastAsia="zh-CN"/>
          <w14:textFill>
            <w14:solidFill>
              <w14:schemeClr w14:val="tx1"/>
            </w14:solidFill>
          </w14:textFill>
        </w:rPr>
        <w:t>投标人</w:t>
      </w:r>
      <w:r>
        <w:rPr>
          <w:rFonts w:hint="eastAsia"/>
          <w:color w:val="000000" w:themeColor="text1"/>
          <w:sz w:val="24"/>
          <w:szCs w:val="24"/>
          <w14:textFill>
            <w14:solidFill>
              <w14:schemeClr w14:val="tx1"/>
            </w14:solidFill>
          </w14:textFill>
        </w:rPr>
        <w:t>不足三家的；</w:t>
      </w:r>
    </w:p>
    <w:p w14:paraId="665A40DA">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r>
        <w:rPr>
          <w:rFonts w:hint="eastAsia"/>
          <w:color w:val="000000" w:themeColor="text1"/>
          <w:sz w:val="24"/>
          <w:szCs w:val="24"/>
          <w:lang w:eastAsia="zh-CN"/>
          <w14:textFill>
            <w14:solidFill>
              <w14:schemeClr w14:val="tx1"/>
            </w14:solidFill>
          </w14:textFill>
        </w:rPr>
        <w:t>投标人</w:t>
      </w:r>
      <w:r>
        <w:rPr>
          <w:rFonts w:hint="eastAsia"/>
          <w:color w:val="000000" w:themeColor="text1"/>
          <w:sz w:val="24"/>
          <w:szCs w:val="24"/>
          <w14:textFill>
            <w14:solidFill>
              <w14:schemeClr w14:val="tx1"/>
            </w14:solidFill>
          </w14:textFill>
        </w:rPr>
        <w:t>的报价均超过招标</w:t>
      </w:r>
      <w:r>
        <w:rPr>
          <w:rFonts w:hint="eastAsia"/>
          <w:color w:val="000000" w:themeColor="text1"/>
          <w:sz w:val="24"/>
          <w:szCs w:val="24"/>
          <w:lang w:val="en-US" w:eastAsia="zh-CN"/>
          <w14:textFill>
            <w14:solidFill>
              <w14:schemeClr w14:val="tx1"/>
            </w14:solidFill>
          </w14:textFill>
        </w:rPr>
        <w:t>控制价</w:t>
      </w:r>
      <w:r>
        <w:rPr>
          <w:rFonts w:hint="eastAsia"/>
          <w:color w:val="000000" w:themeColor="text1"/>
          <w:sz w:val="24"/>
          <w:szCs w:val="24"/>
          <w14:textFill>
            <w14:solidFill>
              <w14:schemeClr w14:val="tx1"/>
            </w14:solidFill>
          </w14:textFill>
        </w:rPr>
        <w:t>；</w:t>
      </w:r>
    </w:p>
    <w:p w14:paraId="22AAAB11">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3、出现影响采购公正的违法、违规行为的；</w:t>
      </w:r>
    </w:p>
    <w:p w14:paraId="5D1EF8B1">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4、因重大变故，招标任务取消的</w:t>
      </w:r>
      <w:r>
        <w:rPr>
          <w:rFonts w:hint="eastAsia"/>
          <w:color w:val="000000" w:themeColor="text1"/>
          <w:sz w:val="24"/>
          <w:szCs w:val="24"/>
          <w:lang w:eastAsia="zh-CN"/>
          <w14:textFill>
            <w14:solidFill>
              <w14:schemeClr w14:val="tx1"/>
            </w14:solidFill>
          </w14:textFill>
        </w:rPr>
        <w:t>；</w:t>
      </w:r>
    </w:p>
    <w:p w14:paraId="06839399">
      <w:pPr>
        <w:keepNext w:val="0"/>
        <w:keepLines w:val="0"/>
        <w:pageBreakBefore w:val="0"/>
        <w:widowControl w:val="0"/>
        <w:numPr>
          <w:ilvl w:val="0"/>
          <w:numId w:val="0"/>
        </w:numPr>
        <w:kinsoku/>
        <w:wordWrap/>
        <w:overflowPunct/>
        <w:topLinePunct w:val="0"/>
        <w:bidi w:val="0"/>
        <w:snapToGrid/>
        <w:spacing w:line="560" w:lineRule="exact"/>
        <w:ind w:left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5、</w:t>
      </w:r>
      <w:r>
        <w:rPr>
          <w:rFonts w:hint="eastAsia"/>
          <w:sz w:val="24"/>
          <w:szCs w:val="24"/>
          <w:lang w:val="en-US" w:eastAsia="zh-CN"/>
        </w:rPr>
        <w:t>投标人之间存在法律法规明令禁止的关联关系。</w:t>
      </w:r>
    </w:p>
    <w:p w14:paraId="3695B006">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七、施工标准及要求</w:t>
      </w:r>
    </w:p>
    <w:p w14:paraId="0CE6BDF9">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1、</w:t>
      </w:r>
      <w:r>
        <w:rPr>
          <w:rFonts w:hint="eastAsia" w:ascii="宋体" w:hAnsi="宋体"/>
          <w:sz w:val="24"/>
          <w:szCs w:val="24"/>
          <w:lang w:val="en-US" w:eastAsia="zh-CN"/>
        </w:rPr>
        <w:t>本工程包施工包验收，需</w:t>
      </w:r>
      <w:r>
        <w:rPr>
          <w:rFonts w:hint="eastAsia"/>
          <w:sz w:val="24"/>
          <w:szCs w:val="24"/>
          <w:lang w:val="en-US" w:eastAsia="zh-CN"/>
        </w:rPr>
        <w:t>符合防火封堵验收规范及行业标准，</w:t>
      </w:r>
      <w:r>
        <w:rPr>
          <w:rFonts w:hint="eastAsia" w:ascii="宋体" w:hAnsi="宋体"/>
          <w:sz w:val="24"/>
          <w:szCs w:val="24"/>
          <w:lang w:val="en-US" w:eastAsia="zh-CN"/>
        </w:rPr>
        <w:t>且满足国网安徽省电力有限公司芜湖供电公司对防火封堵的验收要求</w:t>
      </w:r>
      <w:r>
        <w:rPr>
          <w:rFonts w:hint="eastAsia"/>
          <w:sz w:val="24"/>
          <w:szCs w:val="24"/>
          <w:lang w:val="en-US" w:eastAsia="zh-CN"/>
        </w:rPr>
        <w:t>。</w:t>
      </w:r>
    </w:p>
    <w:p w14:paraId="760D4717">
      <w:pPr>
        <w:keepNext w:val="0"/>
        <w:keepLines w:val="0"/>
        <w:pageBreakBefore w:val="0"/>
        <w:widowControl w:val="0"/>
        <w:numPr>
          <w:ilvl w:val="0"/>
          <w:numId w:val="0"/>
        </w:numPr>
        <w:kinsoku/>
        <w:wordWrap/>
        <w:overflowPunct/>
        <w:topLinePunct w:val="0"/>
        <w:bidi w:val="0"/>
        <w:snapToGrid/>
        <w:spacing w:line="560" w:lineRule="exact"/>
        <w:ind w:firstLine="480" w:firstLineChars="200"/>
        <w:textAlignment w:val="auto"/>
        <w:rPr>
          <w:rFonts w:hint="eastAsia"/>
          <w:sz w:val="24"/>
          <w:szCs w:val="24"/>
        </w:rPr>
      </w:pPr>
      <w:r>
        <w:rPr>
          <w:rFonts w:hint="eastAsia"/>
          <w:sz w:val="24"/>
          <w:szCs w:val="24"/>
          <w:lang w:val="en-US" w:eastAsia="zh-CN"/>
        </w:rPr>
        <w:t>2、施工质量要求：</w:t>
      </w:r>
      <w:r>
        <w:rPr>
          <w:rFonts w:hint="eastAsia"/>
          <w:b/>
          <w:bCs/>
          <w:sz w:val="24"/>
          <w:szCs w:val="24"/>
          <w:lang w:val="en-US" w:eastAsia="zh-CN"/>
        </w:rPr>
        <w:t>招标人现场已设置防火封堵施工样板</w:t>
      </w:r>
      <w:r>
        <w:rPr>
          <w:rFonts w:hint="eastAsia"/>
          <w:sz w:val="24"/>
          <w:szCs w:val="24"/>
          <w:lang w:val="en-US" w:eastAsia="zh-CN"/>
        </w:rPr>
        <w:t>，投标人</w:t>
      </w:r>
      <w:r>
        <w:rPr>
          <w:rFonts w:hint="eastAsia"/>
          <w:sz w:val="24"/>
          <w:szCs w:val="24"/>
        </w:rPr>
        <w:t>根据本项目概况和招标内容自行组织踏勘</w:t>
      </w:r>
      <w:r>
        <w:rPr>
          <w:rFonts w:hint="eastAsia"/>
          <w:sz w:val="24"/>
          <w:szCs w:val="24"/>
          <w:lang w:val="en-US" w:eastAsia="zh-CN"/>
        </w:rPr>
        <w:t>，并</w:t>
      </w:r>
      <w:r>
        <w:rPr>
          <w:rFonts w:hint="eastAsia"/>
          <w:sz w:val="24"/>
          <w:szCs w:val="24"/>
        </w:rPr>
        <w:t>结合</w:t>
      </w:r>
      <w:r>
        <w:rPr>
          <w:rFonts w:hint="eastAsia"/>
          <w:sz w:val="24"/>
          <w:szCs w:val="24"/>
          <w:lang w:val="en-US" w:eastAsia="zh-CN"/>
        </w:rPr>
        <w:t>现场施工样板及招标清单</w:t>
      </w:r>
      <w:r>
        <w:rPr>
          <w:rFonts w:hint="eastAsia"/>
          <w:sz w:val="24"/>
          <w:szCs w:val="24"/>
        </w:rPr>
        <w:t>，</w:t>
      </w:r>
      <w:r>
        <w:rPr>
          <w:rFonts w:hint="eastAsia"/>
          <w:sz w:val="24"/>
          <w:szCs w:val="24"/>
          <w:lang w:val="en-US" w:eastAsia="zh-CN"/>
        </w:rPr>
        <w:t>在投标报价中充分</w:t>
      </w:r>
      <w:r>
        <w:rPr>
          <w:rFonts w:hint="eastAsia"/>
          <w:sz w:val="24"/>
          <w:szCs w:val="24"/>
        </w:rPr>
        <w:t>考虑本项目所含的各项费用，作为报价依据，中标后不再追加任何费用。</w:t>
      </w:r>
    </w:p>
    <w:p w14:paraId="5C5D1AE6">
      <w:pPr>
        <w:keepNext w:val="0"/>
        <w:keepLines w:val="0"/>
        <w:pageBreakBefore w:val="0"/>
        <w:widowControl w:val="0"/>
        <w:numPr>
          <w:ilvl w:val="0"/>
          <w:numId w:val="0"/>
        </w:numPr>
        <w:kinsoku/>
        <w:wordWrap/>
        <w:overflowPunct/>
        <w:topLinePunct w:val="0"/>
        <w:bidi w:val="0"/>
        <w:snapToGrid/>
        <w:spacing w:line="560" w:lineRule="exact"/>
        <w:ind w:firstLine="480" w:firstLineChars="200"/>
        <w:textAlignment w:val="auto"/>
        <w:rPr>
          <w:rFonts w:hint="eastAsia"/>
          <w:sz w:val="24"/>
          <w:szCs w:val="24"/>
        </w:rPr>
      </w:pPr>
      <w:r>
        <w:rPr>
          <w:rFonts w:hint="eastAsia"/>
          <w:sz w:val="24"/>
          <w:szCs w:val="24"/>
          <w:lang w:val="en-US" w:eastAsia="zh-CN"/>
        </w:rPr>
        <w:t>3、投标人</w:t>
      </w:r>
      <w:r>
        <w:rPr>
          <w:rFonts w:hint="eastAsia"/>
          <w:sz w:val="24"/>
          <w:szCs w:val="24"/>
        </w:rPr>
        <w:t>对本项目施工中出现的遗漏或错误负责修改或补充，由于</w:t>
      </w:r>
      <w:r>
        <w:rPr>
          <w:rFonts w:hint="eastAsia"/>
          <w:sz w:val="24"/>
          <w:szCs w:val="24"/>
          <w:lang w:val="en-US" w:eastAsia="zh-CN"/>
        </w:rPr>
        <w:t>投标</w:t>
      </w:r>
      <w:r>
        <w:rPr>
          <w:rFonts w:hint="eastAsia"/>
          <w:sz w:val="24"/>
          <w:szCs w:val="24"/>
          <w:lang w:eastAsia="zh-CN"/>
        </w:rPr>
        <w:t>人</w:t>
      </w:r>
      <w:r>
        <w:rPr>
          <w:rFonts w:hint="eastAsia"/>
          <w:sz w:val="24"/>
          <w:szCs w:val="24"/>
        </w:rPr>
        <w:t>错误造成工程质量事故损失，</w:t>
      </w:r>
      <w:r>
        <w:rPr>
          <w:rFonts w:hint="eastAsia"/>
          <w:sz w:val="24"/>
          <w:szCs w:val="24"/>
          <w:lang w:val="en-US" w:eastAsia="zh-CN"/>
        </w:rPr>
        <w:t>投标</w:t>
      </w:r>
      <w:r>
        <w:rPr>
          <w:rFonts w:hint="eastAsia"/>
          <w:sz w:val="24"/>
          <w:szCs w:val="24"/>
          <w:lang w:eastAsia="zh-CN"/>
        </w:rPr>
        <w:t>人</w:t>
      </w:r>
      <w:r>
        <w:rPr>
          <w:rFonts w:hint="eastAsia"/>
          <w:sz w:val="24"/>
          <w:szCs w:val="24"/>
        </w:rPr>
        <w:t>除负责采取补救措施外，应免收损失部分的费用，并根据损失程度向</w:t>
      </w:r>
      <w:r>
        <w:rPr>
          <w:rFonts w:hint="eastAsia"/>
          <w:sz w:val="24"/>
          <w:szCs w:val="24"/>
          <w:lang w:val="en-US" w:eastAsia="zh-CN"/>
        </w:rPr>
        <w:t>招标人</w:t>
      </w:r>
      <w:r>
        <w:rPr>
          <w:rFonts w:hint="eastAsia"/>
          <w:sz w:val="24"/>
          <w:szCs w:val="24"/>
        </w:rPr>
        <w:t>支付相应赔偿金。</w:t>
      </w:r>
    </w:p>
    <w:p w14:paraId="53550555">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4、本项目为已交付住宅小区，施工过程中应积极与物业公司就现场施工要求做好对接，保持场地清洁卫生，并对施工场地采取必要的保护措施，相关费用清单不单独列项，由投标人综合考虑在报价中，中标后不予调整。如造成成品损坏，需要原状恢复。如投标人不履行，招标人按1000元/次对中标人进行处罚，招标人可自行整改，发生的费用由投标人承担，在结算款中予以扣除。</w:t>
      </w:r>
    </w:p>
    <w:p w14:paraId="78893AE3">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5、本工程施工所需的水、电、垃圾堆放场地、宿舍均由投标人自行承担。涉及其他单位造成的成品损坏及污染，由投标人与损害单位自行协商解决。相关费用清单不单独列项，由投标人综合考虑在报价中，标后不予调整。</w:t>
      </w:r>
    </w:p>
    <w:p w14:paraId="0C31DB86">
      <w:pPr>
        <w:keepNext w:val="0"/>
        <w:keepLines w:val="0"/>
        <w:pageBreakBefore w:val="0"/>
        <w:widowControl w:val="0"/>
        <w:kinsoku/>
        <w:wordWrap/>
        <w:overflowPunct/>
        <w:topLinePunct w:val="0"/>
        <w:bidi w:val="0"/>
        <w:snapToGrid/>
        <w:spacing w:line="560" w:lineRule="exact"/>
        <w:ind w:firstLine="480" w:firstLineChars="200"/>
        <w:textAlignment w:val="auto"/>
        <w:rPr>
          <w:rFonts w:hint="default"/>
          <w:sz w:val="24"/>
          <w:szCs w:val="24"/>
          <w:lang w:val="en-US" w:eastAsia="zh-CN"/>
        </w:rPr>
      </w:pPr>
      <w:r>
        <w:rPr>
          <w:rFonts w:hint="eastAsia"/>
          <w:sz w:val="24"/>
          <w:szCs w:val="24"/>
          <w:lang w:val="en-US" w:eastAsia="zh-CN"/>
        </w:rPr>
        <w:t>6、本工程专款专用，不得出现工人上访、讨薪，否则招标人按1000元/次对投标人进行处罚。</w:t>
      </w:r>
    </w:p>
    <w:p w14:paraId="5D1EFDB2">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lang w:val="en-US" w:eastAsia="zh-CN"/>
        </w:rPr>
        <w:t>八</w:t>
      </w:r>
      <w:r>
        <w:rPr>
          <w:rFonts w:hint="eastAsia" w:ascii="黑体" w:hAnsi="黑体" w:eastAsia="黑体" w:cs="黑体"/>
          <w:b w:val="0"/>
          <w:bCs w:val="0"/>
          <w:sz w:val="24"/>
          <w:szCs w:val="24"/>
        </w:rPr>
        <w:t>、招投标日程表</w:t>
      </w:r>
    </w:p>
    <w:tbl>
      <w:tblPr>
        <w:tblStyle w:val="14"/>
        <w:tblW w:w="51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175"/>
        <w:gridCol w:w="2265"/>
        <w:gridCol w:w="3594"/>
      </w:tblGrid>
      <w:tr w14:paraId="426A0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jc w:val="center"/>
        </w:trPr>
        <w:tc>
          <w:tcPr>
            <w:tcW w:w="463" w:type="pct"/>
            <w:noWrap w:val="0"/>
            <w:vAlign w:val="center"/>
          </w:tcPr>
          <w:p w14:paraId="687DD4A8">
            <w:pPr>
              <w:spacing w:line="360" w:lineRule="auto"/>
              <w:jc w:val="center"/>
              <w:rPr>
                <w:rFonts w:hint="eastAsia" w:ascii="宋体" w:hAnsi="宋体"/>
                <w:b/>
                <w:sz w:val="24"/>
                <w:szCs w:val="24"/>
              </w:rPr>
            </w:pPr>
            <w:r>
              <w:rPr>
                <w:rFonts w:hint="eastAsia" w:ascii="宋体" w:hAnsi="宋体"/>
                <w:b/>
                <w:sz w:val="24"/>
                <w:szCs w:val="24"/>
              </w:rPr>
              <w:t>序号</w:t>
            </w:r>
          </w:p>
        </w:tc>
        <w:tc>
          <w:tcPr>
            <w:tcW w:w="1228" w:type="pct"/>
            <w:noWrap w:val="0"/>
            <w:vAlign w:val="center"/>
          </w:tcPr>
          <w:p w14:paraId="5DF19C60">
            <w:pPr>
              <w:spacing w:line="360" w:lineRule="auto"/>
              <w:jc w:val="center"/>
              <w:rPr>
                <w:rFonts w:hint="eastAsia" w:ascii="宋体" w:hAnsi="宋体"/>
                <w:b/>
                <w:sz w:val="24"/>
                <w:szCs w:val="24"/>
              </w:rPr>
            </w:pPr>
            <w:r>
              <w:rPr>
                <w:rFonts w:hint="eastAsia" w:ascii="宋体" w:hAnsi="宋体"/>
                <w:b/>
                <w:sz w:val="24"/>
                <w:szCs w:val="24"/>
              </w:rPr>
              <w:t>内容</w:t>
            </w:r>
          </w:p>
        </w:tc>
        <w:tc>
          <w:tcPr>
            <w:tcW w:w="1279" w:type="pct"/>
            <w:noWrap w:val="0"/>
            <w:vAlign w:val="center"/>
          </w:tcPr>
          <w:p w14:paraId="12E0733B">
            <w:pPr>
              <w:pStyle w:val="5"/>
              <w:spacing w:line="360" w:lineRule="auto"/>
              <w:jc w:val="center"/>
              <w:rPr>
                <w:rFonts w:hint="eastAsia" w:ascii="宋体" w:hAnsi="宋体" w:eastAsia="宋体"/>
                <w:b/>
                <w:sz w:val="24"/>
                <w:szCs w:val="24"/>
              </w:rPr>
            </w:pPr>
            <w:r>
              <w:rPr>
                <w:rFonts w:hint="eastAsia" w:ascii="宋体" w:hAnsi="宋体" w:eastAsia="宋体"/>
                <w:b/>
                <w:sz w:val="24"/>
                <w:szCs w:val="24"/>
              </w:rPr>
              <w:t>时间</w:t>
            </w:r>
          </w:p>
        </w:tc>
        <w:tc>
          <w:tcPr>
            <w:tcW w:w="2029" w:type="pct"/>
            <w:noWrap w:val="0"/>
            <w:vAlign w:val="center"/>
          </w:tcPr>
          <w:p w14:paraId="1B0194E7">
            <w:pPr>
              <w:spacing w:line="360" w:lineRule="auto"/>
              <w:jc w:val="center"/>
              <w:rPr>
                <w:rFonts w:hint="eastAsia" w:ascii="宋体" w:hAnsi="宋体"/>
                <w:b/>
                <w:sz w:val="24"/>
                <w:szCs w:val="24"/>
              </w:rPr>
            </w:pPr>
            <w:r>
              <w:rPr>
                <w:rFonts w:hint="eastAsia" w:ascii="宋体" w:hAnsi="宋体"/>
                <w:b/>
                <w:sz w:val="24"/>
                <w:szCs w:val="24"/>
              </w:rPr>
              <w:t>地点</w:t>
            </w:r>
          </w:p>
        </w:tc>
      </w:tr>
      <w:tr w14:paraId="222BC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63" w:type="pct"/>
            <w:noWrap w:val="0"/>
            <w:vAlign w:val="center"/>
          </w:tcPr>
          <w:p w14:paraId="5E0EF07F">
            <w:pPr>
              <w:spacing w:line="360" w:lineRule="auto"/>
              <w:jc w:val="center"/>
              <w:rPr>
                <w:rFonts w:hint="eastAsia" w:ascii="宋体" w:hAnsi="宋体"/>
                <w:sz w:val="24"/>
                <w:szCs w:val="24"/>
                <w:highlight w:val="none"/>
              </w:rPr>
            </w:pPr>
            <w:r>
              <w:rPr>
                <w:rFonts w:hint="eastAsia" w:ascii="宋体" w:hAnsi="宋体"/>
                <w:sz w:val="24"/>
                <w:szCs w:val="24"/>
                <w:highlight w:val="none"/>
              </w:rPr>
              <w:t>1</w:t>
            </w:r>
          </w:p>
        </w:tc>
        <w:tc>
          <w:tcPr>
            <w:tcW w:w="1228" w:type="pct"/>
            <w:noWrap w:val="0"/>
            <w:vAlign w:val="center"/>
          </w:tcPr>
          <w:p w14:paraId="00474719">
            <w:pPr>
              <w:spacing w:line="360" w:lineRule="auto"/>
              <w:jc w:val="center"/>
              <w:rPr>
                <w:rFonts w:hint="eastAsia" w:ascii="宋体" w:hAnsi="宋体"/>
                <w:sz w:val="24"/>
                <w:szCs w:val="24"/>
                <w:highlight w:val="none"/>
              </w:rPr>
            </w:pPr>
            <w:r>
              <w:rPr>
                <w:rFonts w:hint="eastAsia" w:ascii="宋体" w:hAnsi="宋体"/>
                <w:sz w:val="24"/>
                <w:szCs w:val="24"/>
                <w:highlight w:val="none"/>
                <w:lang w:val="en-US" w:eastAsia="zh-CN"/>
              </w:rPr>
              <w:t>询价</w:t>
            </w:r>
            <w:r>
              <w:rPr>
                <w:rFonts w:hint="eastAsia" w:ascii="宋体" w:hAnsi="宋体"/>
                <w:sz w:val="24"/>
                <w:szCs w:val="24"/>
                <w:highlight w:val="none"/>
              </w:rPr>
              <w:t>文件发布</w:t>
            </w:r>
          </w:p>
        </w:tc>
        <w:tc>
          <w:tcPr>
            <w:tcW w:w="1279" w:type="pct"/>
            <w:noWrap w:val="0"/>
            <w:vAlign w:val="center"/>
          </w:tcPr>
          <w:p w14:paraId="5CF9E5F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2026年7月22日</w:t>
            </w:r>
          </w:p>
          <w:p w14:paraId="7536631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spacing w:val="-10"/>
                <w:sz w:val="24"/>
                <w:szCs w:val="24"/>
                <w:highlight w:val="none"/>
                <w:lang w:val="en-US" w:eastAsia="zh-CN"/>
              </w:rPr>
            </w:pPr>
            <w:r>
              <w:rPr>
                <w:rFonts w:hint="eastAsia" w:ascii="宋体" w:hAnsi="宋体"/>
                <w:spacing w:val="0"/>
                <w:sz w:val="24"/>
                <w:szCs w:val="24"/>
                <w:highlight w:val="none"/>
                <w:lang w:val="en-US" w:eastAsia="zh-CN"/>
              </w:rPr>
              <w:t>星期三15:00</w:t>
            </w:r>
          </w:p>
        </w:tc>
        <w:tc>
          <w:tcPr>
            <w:tcW w:w="2029" w:type="pct"/>
            <w:noWrap w:val="0"/>
            <w:vAlign w:val="center"/>
          </w:tcPr>
          <w:p w14:paraId="6029590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sz w:val="24"/>
                <w:szCs w:val="24"/>
                <w:highlight w:val="none"/>
                <w:lang w:val="en-US" w:eastAsia="zh-CN"/>
              </w:rPr>
            </w:pPr>
            <w:r>
              <w:rPr>
                <w:rFonts w:hint="eastAsia" w:ascii="宋体" w:hAnsi="宋体"/>
                <w:spacing w:val="0"/>
                <w:sz w:val="24"/>
                <w:szCs w:val="24"/>
                <w:highlight w:val="none"/>
                <w:lang w:val="en-US" w:eastAsia="zh-CN"/>
              </w:rPr>
              <w:t>芜湖滨江文旅投资运营有限公司官网</w:t>
            </w:r>
          </w:p>
        </w:tc>
      </w:tr>
      <w:tr w14:paraId="4E62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63" w:type="pct"/>
            <w:noWrap w:val="0"/>
            <w:vAlign w:val="center"/>
          </w:tcPr>
          <w:p w14:paraId="3A115FB8">
            <w:pPr>
              <w:spacing w:line="360" w:lineRule="auto"/>
              <w:jc w:val="center"/>
              <w:rPr>
                <w:rFonts w:hint="eastAsia" w:ascii="宋体" w:hAnsi="宋体"/>
                <w:sz w:val="24"/>
                <w:szCs w:val="24"/>
                <w:highlight w:val="none"/>
              </w:rPr>
            </w:pPr>
            <w:r>
              <w:rPr>
                <w:rFonts w:hint="eastAsia" w:ascii="宋体" w:hAnsi="宋体"/>
                <w:sz w:val="24"/>
                <w:szCs w:val="24"/>
                <w:highlight w:val="none"/>
              </w:rPr>
              <w:t>2</w:t>
            </w:r>
          </w:p>
        </w:tc>
        <w:tc>
          <w:tcPr>
            <w:tcW w:w="1228" w:type="pct"/>
            <w:noWrap w:val="0"/>
            <w:vAlign w:val="center"/>
          </w:tcPr>
          <w:p w14:paraId="51378DCB">
            <w:pPr>
              <w:spacing w:line="360" w:lineRule="auto"/>
              <w:jc w:val="center"/>
              <w:rPr>
                <w:rFonts w:hint="eastAsia" w:ascii="宋体" w:hAnsi="宋体"/>
                <w:sz w:val="24"/>
                <w:szCs w:val="24"/>
                <w:highlight w:val="none"/>
              </w:rPr>
            </w:pPr>
            <w:r>
              <w:rPr>
                <w:rFonts w:hint="eastAsia" w:ascii="宋体" w:hAnsi="宋体"/>
                <w:sz w:val="24"/>
                <w:szCs w:val="24"/>
                <w:highlight w:val="none"/>
                <w:lang w:val="en-US" w:eastAsia="zh-CN"/>
              </w:rPr>
              <w:t>询价</w:t>
            </w:r>
            <w:r>
              <w:rPr>
                <w:rFonts w:hint="eastAsia" w:ascii="宋体" w:hAnsi="宋体"/>
                <w:sz w:val="24"/>
                <w:szCs w:val="24"/>
                <w:highlight w:val="none"/>
              </w:rPr>
              <w:t>文件提交</w:t>
            </w:r>
          </w:p>
        </w:tc>
        <w:tc>
          <w:tcPr>
            <w:tcW w:w="1279" w:type="pct"/>
            <w:noWrap w:val="0"/>
            <w:vAlign w:val="center"/>
          </w:tcPr>
          <w:p w14:paraId="076BC65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2026年7月24日</w:t>
            </w:r>
          </w:p>
          <w:p w14:paraId="4219438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spacing w:val="-10"/>
                <w:sz w:val="24"/>
                <w:szCs w:val="24"/>
                <w:highlight w:val="none"/>
                <w:lang w:val="en-US" w:eastAsia="zh-CN"/>
              </w:rPr>
            </w:pPr>
            <w:r>
              <w:rPr>
                <w:rFonts w:hint="eastAsia" w:ascii="宋体" w:hAnsi="宋体"/>
                <w:spacing w:val="0"/>
                <w:sz w:val="24"/>
                <w:szCs w:val="24"/>
                <w:highlight w:val="none"/>
                <w:lang w:val="en-US" w:eastAsia="zh-CN"/>
              </w:rPr>
              <w:t>星期五15:00</w:t>
            </w:r>
          </w:p>
        </w:tc>
        <w:tc>
          <w:tcPr>
            <w:tcW w:w="2029" w:type="pct"/>
            <w:noWrap w:val="0"/>
            <w:vAlign w:val="center"/>
          </w:tcPr>
          <w:p w14:paraId="65A8B73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芜湖市镜湖区华强广场</w:t>
            </w:r>
          </w:p>
          <w:p w14:paraId="6DA0FA5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A栋1405室</w:t>
            </w:r>
          </w:p>
          <w:p w14:paraId="7EA65F4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sz w:val="24"/>
                <w:szCs w:val="24"/>
                <w:highlight w:val="none"/>
                <w:lang w:val="en-US" w:eastAsia="zh-CN"/>
              </w:rPr>
            </w:pPr>
            <w:r>
              <w:rPr>
                <w:rFonts w:hint="eastAsia" w:ascii="宋体" w:hAnsi="宋体"/>
                <w:spacing w:val="0"/>
                <w:sz w:val="24"/>
                <w:szCs w:val="24"/>
                <w:highlight w:val="none"/>
                <w:lang w:val="en-US" w:eastAsia="zh-CN"/>
              </w:rPr>
              <w:t>芜湖滨江文旅投资运营有限公司</w:t>
            </w:r>
          </w:p>
        </w:tc>
      </w:tr>
      <w:tr w14:paraId="04D0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463" w:type="pct"/>
            <w:noWrap w:val="0"/>
            <w:vAlign w:val="center"/>
          </w:tcPr>
          <w:p w14:paraId="521707B3">
            <w:pPr>
              <w:spacing w:line="360" w:lineRule="auto"/>
              <w:jc w:val="center"/>
              <w:rPr>
                <w:rFonts w:hint="eastAsia" w:ascii="宋体" w:hAnsi="宋体"/>
                <w:sz w:val="24"/>
                <w:szCs w:val="24"/>
                <w:highlight w:val="none"/>
              </w:rPr>
            </w:pPr>
            <w:r>
              <w:rPr>
                <w:rFonts w:hint="eastAsia" w:ascii="宋体" w:hAnsi="宋体"/>
                <w:sz w:val="24"/>
                <w:szCs w:val="24"/>
                <w:highlight w:val="none"/>
              </w:rPr>
              <w:t>3</w:t>
            </w:r>
          </w:p>
        </w:tc>
        <w:tc>
          <w:tcPr>
            <w:tcW w:w="1228" w:type="pct"/>
            <w:noWrap w:val="0"/>
            <w:vAlign w:val="center"/>
          </w:tcPr>
          <w:p w14:paraId="6BBFB4D9">
            <w:pPr>
              <w:spacing w:line="360" w:lineRule="auto"/>
              <w:jc w:val="center"/>
              <w:rPr>
                <w:rFonts w:hint="eastAsia" w:ascii="宋体" w:hAnsi="宋体"/>
                <w:sz w:val="24"/>
                <w:szCs w:val="24"/>
                <w:highlight w:val="none"/>
              </w:rPr>
            </w:pPr>
            <w:r>
              <w:rPr>
                <w:rFonts w:hint="eastAsia" w:ascii="宋体" w:hAnsi="宋体"/>
                <w:sz w:val="24"/>
                <w:szCs w:val="24"/>
                <w:highlight w:val="none"/>
              </w:rPr>
              <w:t>开标时间、地点</w:t>
            </w:r>
          </w:p>
        </w:tc>
        <w:tc>
          <w:tcPr>
            <w:tcW w:w="1279" w:type="pct"/>
            <w:noWrap w:val="0"/>
            <w:vAlign w:val="center"/>
          </w:tcPr>
          <w:p w14:paraId="3B9CBEC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2026年7月24日</w:t>
            </w:r>
          </w:p>
          <w:p w14:paraId="6691C59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spacing w:val="-10"/>
                <w:sz w:val="24"/>
                <w:szCs w:val="24"/>
                <w:highlight w:val="none"/>
                <w:lang w:val="en-US" w:eastAsia="zh-CN"/>
              </w:rPr>
            </w:pPr>
            <w:r>
              <w:rPr>
                <w:rFonts w:hint="eastAsia" w:ascii="宋体" w:hAnsi="宋体"/>
                <w:spacing w:val="0"/>
                <w:sz w:val="24"/>
                <w:szCs w:val="24"/>
                <w:highlight w:val="none"/>
                <w:lang w:val="en-US" w:eastAsia="zh-CN"/>
              </w:rPr>
              <w:t>星期五15:00</w:t>
            </w:r>
          </w:p>
        </w:tc>
        <w:tc>
          <w:tcPr>
            <w:tcW w:w="2029" w:type="pct"/>
            <w:noWrap w:val="0"/>
            <w:vAlign w:val="center"/>
          </w:tcPr>
          <w:p w14:paraId="42A6B73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芜湖市镜湖区华强广场</w:t>
            </w:r>
          </w:p>
          <w:p w14:paraId="7E9C743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A栋1405室</w:t>
            </w:r>
          </w:p>
          <w:p w14:paraId="407CB1E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z w:val="24"/>
                <w:szCs w:val="24"/>
                <w:highlight w:val="none"/>
              </w:rPr>
            </w:pPr>
            <w:r>
              <w:rPr>
                <w:rFonts w:hint="eastAsia" w:ascii="宋体" w:hAnsi="宋体"/>
                <w:spacing w:val="0"/>
                <w:sz w:val="24"/>
                <w:szCs w:val="24"/>
                <w:highlight w:val="none"/>
                <w:lang w:val="en-US" w:eastAsia="zh-CN"/>
              </w:rPr>
              <w:t>芜湖滨江文旅投资运营有限公司</w:t>
            </w:r>
          </w:p>
        </w:tc>
      </w:tr>
      <w:tr w14:paraId="60B7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000" w:type="pct"/>
            <w:gridSpan w:val="4"/>
            <w:noWrap w:val="0"/>
            <w:vAlign w:val="center"/>
          </w:tcPr>
          <w:p w14:paraId="36122D2B">
            <w:pPr>
              <w:spacing w:line="360" w:lineRule="auto"/>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 xml:space="preserve">联系人： 杨成   ；联系电话：15955155409   </w:t>
            </w:r>
          </w:p>
        </w:tc>
      </w:tr>
    </w:tbl>
    <w:p w14:paraId="4D3502A8">
      <w:pPr>
        <w:spacing w:line="360" w:lineRule="auto"/>
        <w:rPr>
          <w:rFonts w:hint="default" w:ascii="宋体" w:hAnsi="宋体" w:eastAsia="宋体"/>
          <w:sz w:val="24"/>
          <w:szCs w:val="24"/>
          <w:highlight w:val="none"/>
          <w:lang w:val="en-US" w:eastAsia="zh-CN"/>
        </w:rPr>
      </w:pPr>
      <w:r>
        <w:rPr>
          <w:rFonts w:hint="eastAsia"/>
          <w:sz w:val="24"/>
          <w:szCs w:val="24"/>
          <w:lang w:val="en-US" w:eastAsia="zh-CN"/>
        </w:rPr>
        <w:t xml:space="preserve">如有意向，请将投标报价文件于2026年7月24日15:00前密封后送至芜湖市华强广场A栋1405室         </w:t>
      </w:r>
    </w:p>
    <w:p w14:paraId="32AAA806">
      <w:pPr>
        <w:keepNext w:val="0"/>
        <w:keepLines w:val="0"/>
        <w:pageBreakBefore w:val="0"/>
        <w:widowControl w:val="0"/>
        <w:numPr>
          <w:ilvl w:val="0"/>
          <w:numId w:val="2"/>
        </w:numPr>
        <w:kinsoku/>
        <w:wordWrap/>
        <w:overflowPunct/>
        <w:topLinePunct w:val="0"/>
        <w:autoSpaceDE/>
        <w:autoSpaceDN/>
        <w:bidi w:val="0"/>
        <w:spacing w:line="560" w:lineRule="exact"/>
        <w:ind w:firstLine="482" w:firstLineChars="200"/>
        <w:jc w:val="left"/>
        <w:textAlignment w:val="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施工周期要求</w:t>
      </w:r>
    </w:p>
    <w:p w14:paraId="061752BD">
      <w:pPr>
        <w:keepNext w:val="0"/>
        <w:keepLines w:val="0"/>
        <w:pageBreakBefore w:val="0"/>
        <w:widowControl w:val="0"/>
        <w:numPr>
          <w:ilvl w:val="0"/>
          <w:numId w:val="3"/>
        </w:numPr>
        <w:kinsoku/>
        <w:wordWrap/>
        <w:overflowPunct/>
        <w:topLinePunct w:val="0"/>
        <w:bidi w:val="0"/>
        <w:snapToGrid/>
        <w:spacing w:line="560" w:lineRule="exact"/>
        <w:ind w:firstLine="480" w:firstLineChars="200"/>
        <w:textAlignment w:val="auto"/>
        <w:rPr>
          <w:rFonts w:hint="eastAsia"/>
          <w:sz w:val="24"/>
          <w:szCs w:val="24"/>
        </w:rPr>
      </w:pPr>
      <w:r>
        <w:rPr>
          <w:rFonts w:hint="eastAsia"/>
          <w:sz w:val="24"/>
          <w:szCs w:val="24"/>
        </w:rPr>
        <w:t>合同</w:t>
      </w:r>
      <w:r>
        <w:rPr>
          <w:rFonts w:hint="eastAsia"/>
          <w:sz w:val="24"/>
          <w:szCs w:val="24"/>
          <w:lang w:val="en-US" w:eastAsia="zh-CN"/>
        </w:rPr>
        <w:t>工期5日历天</w:t>
      </w:r>
      <w:r>
        <w:rPr>
          <w:rFonts w:hint="eastAsia"/>
          <w:sz w:val="24"/>
          <w:szCs w:val="24"/>
        </w:rPr>
        <w:t>，</w:t>
      </w:r>
      <w:r>
        <w:rPr>
          <w:rFonts w:hint="eastAsia"/>
          <w:sz w:val="24"/>
          <w:szCs w:val="24"/>
          <w:lang w:val="en-US" w:eastAsia="zh-CN"/>
        </w:rPr>
        <w:t>具体开工时间以招标人通知为准</w:t>
      </w:r>
      <w:r>
        <w:rPr>
          <w:rFonts w:hint="eastAsia"/>
          <w:sz w:val="24"/>
          <w:szCs w:val="24"/>
        </w:rPr>
        <w:t>。</w:t>
      </w:r>
    </w:p>
    <w:p w14:paraId="303185CB">
      <w:pPr>
        <w:keepNext w:val="0"/>
        <w:keepLines w:val="0"/>
        <w:pageBreakBefore w:val="0"/>
        <w:widowControl w:val="0"/>
        <w:numPr>
          <w:ilvl w:val="0"/>
          <w:numId w:val="3"/>
        </w:numPr>
        <w:kinsoku/>
        <w:wordWrap/>
        <w:overflowPunct/>
        <w:topLinePunct w:val="0"/>
        <w:bidi w:val="0"/>
        <w:snapToGrid/>
        <w:spacing w:line="560" w:lineRule="exact"/>
        <w:ind w:left="0" w:leftChars="0" w:firstLine="480" w:firstLineChars="200"/>
        <w:textAlignment w:val="auto"/>
        <w:rPr>
          <w:rFonts w:hint="eastAsia"/>
          <w:sz w:val="24"/>
          <w:szCs w:val="24"/>
        </w:rPr>
      </w:pPr>
      <w:r>
        <w:rPr>
          <w:rFonts w:hint="eastAsia"/>
          <w:sz w:val="24"/>
          <w:szCs w:val="24"/>
          <w:lang w:val="en-US" w:eastAsia="zh-CN"/>
        </w:rPr>
        <w:t>招标</w:t>
      </w:r>
      <w:r>
        <w:rPr>
          <w:rFonts w:hint="eastAsia"/>
          <w:sz w:val="24"/>
          <w:szCs w:val="24"/>
          <w:lang w:eastAsia="zh-CN"/>
        </w:rPr>
        <w:t>人</w:t>
      </w:r>
      <w:r>
        <w:rPr>
          <w:rFonts w:hint="eastAsia"/>
          <w:sz w:val="24"/>
          <w:szCs w:val="24"/>
        </w:rPr>
        <w:t>下达任务委托单后，</w:t>
      </w:r>
      <w:r>
        <w:rPr>
          <w:rFonts w:hint="eastAsia"/>
          <w:sz w:val="24"/>
          <w:szCs w:val="24"/>
          <w:lang w:val="en-US" w:eastAsia="zh-CN"/>
        </w:rPr>
        <w:t>投标人</w:t>
      </w:r>
      <w:r>
        <w:rPr>
          <w:rFonts w:hint="eastAsia"/>
          <w:sz w:val="24"/>
          <w:szCs w:val="24"/>
        </w:rPr>
        <w:t>应按时完成任务。如因</w:t>
      </w:r>
      <w:r>
        <w:rPr>
          <w:rFonts w:hint="eastAsia"/>
          <w:sz w:val="24"/>
          <w:szCs w:val="24"/>
          <w:lang w:val="en-US" w:eastAsia="zh-CN"/>
        </w:rPr>
        <w:t>投标人</w:t>
      </w:r>
      <w:r>
        <w:rPr>
          <w:rFonts w:hint="eastAsia"/>
          <w:sz w:val="24"/>
          <w:szCs w:val="24"/>
        </w:rPr>
        <w:t>原因，导致项目施工进度(含节点进度)延误，每延期一天</w:t>
      </w:r>
      <w:r>
        <w:rPr>
          <w:rFonts w:hint="eastAsia"/>
          <w:sz w:val="24"/>
          <w:szCs w:val="24"/>
          <w:lang w:eastAsia="zh-CN"/>
        </w:rPr>
        <w:t>投标人</w:t>
      </w:r>
      <w:r>
        <w:rPr>
          <w:rFonts w:hint="eastAsia"/>
          <w:sz w:val="24"/>
          <w:szCs w:val="24"/>
        </w:rPr>
        <w:t>需承担</w:t>
      </w:r>
      <w:r>
        <w:rPr>
          <w:rFonts w:hint="eastAsia"/>
          <w:sz w:val="24"/>
          <w:szCs w:val="24"/>
          <w:lang w:val="en-US" w:eastAsia="zh-CN"/>
        </w:rPr>
        <w:t>2000</w:t>
      </w:r>
      <w:r>
        <w:rPr>
          <w:rFonts w:hint="eastAsia"/>
          <w:sz w:val="24"/>
          <w:szCs w:val="24"/>
        </w:rPr>
        <w:t>元的违约金。延期超过</w:t>
      </w:r>
      <w:r>
        <w:rPr>
          <w:rFonts w:hint="eastAsia"/>
          <w:sz w:val="24"/>
          <w:szCs w:val="24"/>
          <w:lang w:val="en-US" w:eastAsia="zh-CN"/>
        </w:rPr>
        <w:t>7</w:t>
      </w:r>
      <w:r>
        <w:rPr>
          <w:rFonts w:hint="eastAsia"/>
          <w:sz w:val="24"/>
          <w:szCs w:val="24"/>
        </w:rPr>
        <w:t>天，</w:t>
      </w:r>
      <w:r>
        <w:rPr>
          <w:rFonts w:hint="eastAsia"/>
          <w:sz w:val="24"/>
          <w:szCs w:val="24"/>
          <w:lang w:eastAsia="zh-CN"/>
        </w:rPr>
        <w:t>招标人</w:t>
      </w:r>
      <w:r>
        <w:rPr>
          <w:rFonts w:hint="eastAsia"/>
          <w:sz w:val="24"/>
          <w:szCs w:val="24"/>
        </w:rPr>
        <w:t>有权终止合同不支付剩余费用，</w:t>
      </w:r>
      <w:r>
        <w:rPr>
          <w:rFonts w:hint="eastAsia"/>
          <w:sz w:val="24"/>
          <w:szCs w:val="24"/>
          <w:lang w:eastAsia="zh-CN"/>
        </w:rPr>
        <w:t>投标人</w:t>
      </w:r>
      <w:r>
        <w:rPr>
          <w:rFonts w:hint="eastAsia"/>
          <w:sz w:val="24"/>
          <w:szCs w:val="24"/>
        </w:rPr>
        <w:t>的损失须自行承担，同时</w:t>
      </w:r>
      <w:r>
        <w:rPr>
          <w:rFonts w:hint="eastAsia"/>
          <w:sz w:val="24"/>
          <w:szCs w:val="24"/>
          <w:lang w:eastAsia="zh-CN"/>
        </w:rPr>
        <w:t>招标人</w:t>
      </w:r>
      <w:r>
        <w:rPr>
          <w:rFonts w:hint="eastAsia"/>
          <w:sz w:val="24"/>
          <w:szCs w:val="24"/>
        </w:rPr>
        <w:t>有权追究</w:t>
      </w:r>
      <w:r>
        <w:rPr>
          <w:rFonts w:hint="eastAsia"/>
          <w:sz w:val="24"/>
          <w:szCs w:val="24"/>
          <w:lang w:eastAsia="zh-CN"/>
        </w:rPr>
        <w:t>投标人</w:t>
      </w:r>
      <w:r>
        <w:rPr>
          <w:rFonts w:hint="eastAsia"/>
          <w:sz w:val="24"/>
          <w:szCs w:val="24"/>
        </w:rPr>
        <w:t>由此给</w:t>
      </w:r>
      <w:r>
        <w:rPr>
          <w:rFonts w:hint="eastAsia"/>
          <w:sz w:val="24"/>
          <w:szCs w:val="24"/>
          <w:lang w:eastAsia="zh-CN"/>
        </w:rPr>
        <w:t>招标人</w:t>
      </w:r>
      <w:r>
        <w:rPr>
          <w:rFonts w:hint="eastAsia"/>
          <w:sz w:val="24"/>
          <w:szCs w:val="24"/>
        </w:rPr>
        <w:t>造成的一切损失。</w:t>
      </w:r>
    </w:p>
    <w:p w14:paraId="4A909946">
      <w:pPr>
        <w:keepNext w:val="0"/>
        <w:keepLines w:val="0"/>
        <w:pageBreakBefore w:val="0"/>
        <w:widowControl w:val="0"/>
        <w:numPr>
          <w:ilvl w:val="0"/>
          <w:numId w:val="3"/>
        </w:numPr>
        <w:kinsoku/>
        <w:wordWrap/>
        <w:overflowPunct/>
        <w:topLinePunct w:val="0"/>
        <w:bidi w:val="0"/>
        <w:snapToGrid/>
        <w:spacing w:line="560" w:lineRule="exact"/>
        <w:ind w:firstLine="480" w:firstLineChars="200"/>
        <w:textAlignment w:val="auto"/>
        <w:rPr>
          <w:rFonts w:hint="eastAsia"/>
          <w:sz w:val="24"/>
          <w:szCs w:val="24"/>
        </w:rPr>
      </w:pPr>
      <w:r>
        <w:rPr>
          <w:rFonts w:hint="eastAsia"/>
          <w:sz w:val="24"/>
          <w:szCs w:val="24"/>
        </w:rPr>
        <w:t>因</w:t>
      </w:r>
      <w:r>
        <w:rPr>
          <w:rFonts w:hint="eastAsia"/>
          <w:sz w:val="24"/>
          <w:szCs w:val="24"/>
          <w:lang w:eastAsia="zh-CN"/>
        </w:rPr>
        <w:t>投标人</w:t>
      </w:r>
      <w:r>
        <w:rPr>
          <w:rFonts w:hint="eastAsia"/>
          <w:sz w:val="24"/>
          <w:szCs w:val="24"/>
        </w:rPr>
        <w:t>配备的人员设备无法满足本项目施工需求时，</w:t>
      </w:r>
      <w:r>
        <w:rPr>
          <w:rFonts w:hint="eastAsia"/>
          <w:sz w:val="24"/>
          <w:szCs w:val="24"/>
          <w:lang w:eastAsia="zh-CN"/>
        </w:rPr>
        <w:t>招标人</w:t>
      </w:r>
      <w:r>
        <w:rPr>
          <w:rFonts w:hint="eastAsia"/>
          <w:sz w:val="24"/>
          <w:szCs w:val="24"/>
        </w:rPr>
        <w:t>有权要求</w:t>
      </w:r>
      <w:r>
        <w:rPr>
          <w:rFonts w:hint="eastAsia"/>
          <w:sz w:val="24"/>
          <w:szCs w:val="24"/>
          <w:lang w:eastAsia="zh-CN"/>
        </w:rPr>
        <w:t>投标人</w:t>
      </w:r>
      <w:r>
        <w:rPr>
          <w:rFonts w:hint="eastAsia"/>
          <w:sz w:val="24"/>
          <w:szCs w:val="24"/>
        </w:rPr>
        <w:t>增加，</w:t>
      </w:r>
      <w:r>
        <w:rPr>
          <w:rFonts w:hint="eastAsia"/>
          <w:sz w:val="24"/>
          <w:szCs w:val="24"/>
          <w:lang w:eastAsia="zh-CN"/>
        </w:rPr>
        <w:t>投标人</w:t>
      </w:r>
      <w:r>
        <w:rPr>
          <w:rFonts w:hint="eastAsia"/>
          <w:sz w:val="24"/>
          <w:szCs w:val="24"/>
        </w:rPr>
        <w:t>应无条件满足相关要求，由此增加的费用均已包含在合同价中。</w:t>
      </w:r>
    </w:p>
    <w:p w14:paraId="63B7B2E7">
      <w:pPr>
        <w:keepNext w:val="0"/>
        <w:keepLines w:val="0"/>
        <w:pageBreakBefore w:val="0"/>
        <w:widowControl w:val="0"/>
        <w:numPr>
          <w:ilvl w:val="0"/>
          <w:numId w:val="3"/>
        </w:numPr>
        <w:kinsoku/>
        <w:wordWrap/>
        <w:overflowPunct/>
        <w:topLinePunct w:val="0"/>
        <w:bidi w:val="0"/>
        <w:snapToGrid/>
        <w:spacing w:line="560" w:lineRule="exact"/>
        <w:ind w:firstLine="480" w:firstLineChars="200"/>
        <w:textAlignment w:val="auto"/>
        <w:rPr>
          <w:rFonts w:hint="eastAsia"/>
          <w:sz w:val="24"/>
          <w:szCs w:val="24"/>
        </w:rPr>
      </w:pPr>
      <w:r>
        <w:rPr>
          <w:rFonts w:hint="eastAsia"/>
          <w:sz w:val="24"/>
          <w:szCs w:val="24"/>
        </w:rPr>
        <w:t>在合同履行期间，</w:t>
      </w:r>
      <w:r>
        <w:rPr>
          <w:rFonts w:hint="eastAsia"/>
          <w:sz w:val="24"/>
          <w:szCs w:val="24"/>
          <w:lang w:eastAsia="zh-CN"/>
        </w:rPr>
        <w:t>招标人</w:t>
      </w:r>
      <w:r>
        <w:rPr>
          <w:rFonts w:hint="eastAsia"/>
          <w:sz w:val="24"/>
          <w:szCs w:val="24"/>
        </w:rPr>
        <w:t>要求终止或解除合同，施工工作未展开的，</w:t>
      </w:r>
      <w:r>
        <w:rPr>
          <w:rFonts w:hint="eastAsia"/>
          <w:sz w:val="24"/>
          <w:szCs w:val="24"/>
          <w:lang w:eastAsia="zh-CN"/>
        </w:rPr>
        <w:t>招标人</w:t>
      </w:r>
      <w:r>
        <w:rPr>
          <w:rFonts w:hint="eastAsia"/>
          <w:sz w:val="24"/>
          <w:szCs w:val="24"/>
        </w:rPr>
        <w:t>不作出赔偿;已开始施工工作的，</w:t>
      </w:r>
      <w:r>
        <w:rPr>
          <w:rFonts w:hint="eastAsia"/>
          <w:sz w:val="24"/>
          <w:szCs w:val="24"/>
          <w:lang w:eastAsia="zh-CN"/>
        </w:rPr>
        <w:t>招标人</w:t>
      </w:r>
      <w:r>
        <w:rPr>
          <w:rFonts w:hint="eastAsia"/>
          <w:sz w:val="24"/>
          <w:szCs w:val="24"/>
        </w:rPr>
        <w:t>根据</w:t>
      </w:r>
      <w:r>
        <w:rPr>
          <w:rFonts w:hint="eastAsia"/>
          <w:sz w:val="24"/>
          <w:szCs w:val="24"/>
          <w:lang w:eastAsia="zh-CN"/>
        </w:rPr>
        <w:t>投标人</w:t>
      </w:r>
      <w:r>
        <w:rPr>
          <w:rFonts w:hint="eastAsia"/>
          <w:sz w:val="24"/>
          <w:szCs w:val="24"/>
        </w:rPr>
        <w:t>已进行实际工作量支付。</w:t>
      </w:r>
    </w:p>
    <w:p w14:paraId="38947313">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rPr>
          <w:rFonts w:hint="eastAsia" w:ascii="宋体" w:hAnsi="宋体" w:cs="宋体"/>
          <w:b/>
          <w:bCs/>
          <w:sz w:val="24"/>
          <w:szCs w:val="24"/>
          <w:highlight w:val="none"/>
          <w:u w:val="single"/>
          <w:lang w:val="en-US" w:eastAsia="zh-CN"/>
        </w:rPr>
      </w:pPr>
      <w:r>
        <w:rPr>
          <w:rFonts w:hint="eastAsia" w:ascii="宋体" w:hAnsi="宋体" w:cs="宋体"/>
          <w:b/>
          <w:bCs/>
          <w:sz w:val="24"/>
          <w:szCs w:val="24"/>
          <w:highlight w:val="none"/>
          <w:lang w:val="en-US" w:eastAsia="zh-CN"/>
        </w:rPr>
        <w:t>十、工程款支付</w:t>
      </w:r>
      <w:r>
        <w:rPr>
          <w:rFonts w:hint="eastAsia" w:ascii="宋体" w:hAnsi="宋体" w:cs="宋体"/>
          <w:b/>
          <w:bCs/>
          <w:sz w:val="24"/>
          <w:szCs w:val="24"/>
          <w:highlight w:val="none"/>
        </w:rPr>
        <w:t>方式：</w:t>
      </w:r>
    </w:p>
    <w:p w14:paraId="7FBEB1B7">
      <w:pPr>
        <w:keepNext w:val="0"/>
        <w:keepLines w:val="0"/>
        <w:pageBreakBefore w:val="0"/>
        <w:widowControl w:val="0"/>
        <w:numPr>
          <w:ilvl w:val="0"/>
          <w:numId w:val="0"/>
        </w:numPr>
        <w:kinsoku/>
        <w:wordWrap/>
        <w:overflowPunct/>
        <w:topLinePunct w:val="0"/>
        <w:bidi w:val="0"/>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1、合同价:采用总价包干合同，付款前投标人需提供增值税专用发票。</w:t>
      </w:r>
    </w:p>
    <w:p w14:paraId="48AA782D">
      <w:pPr>
        <w:keepNext w:val="0"/>
        <w:keepLines w:val="0"/>
        <w:pageBreakBefore w:val="0"/>
        <w:widowControl w:val="0"/>
        <w:numPr>
          <w:ilvl w:val="0"/>
          <w:numId w:val="0"/>
        </w:numPr>
        <w:kinsoku/>
        <w:wordWrap/>
        <w:overflowPunct/>
        <w:topLinePunct w:val="0"/>
        <w:bidi w:val="0"/>
        <w:snapToGrid/>
        <w:spacing w:line="560" w:lineRule="exact"/>
        <w:ind w:firstLine="480" w:firstLineChars="200"/>
        <w:textAlignment w:val="auto"/>
        <w:rPr>
          <w:rFonts w:hint="eastAsia"/>
          <w:sz w:val="24"/>
          <w:szCs w:val="24"/>
        </w:rPr>
      </w:pPr>
      <w:r>
        <w:rPr>
          <w:rFonts w:hint="eastAsia"/>
          <w:sz w:val="24"/>
          <w:szCs w:val="24"/>
          <w:lang w:val="en-US" w:eastAsia="zh-CN"/>
        </w:rPr>
        <w:t xml:space="preserve">2、付款方式:工程完工且结算定案后，并与招标人结清工程所有施工手续、对存在的质量缺陷履行了保修职责，支付至竣工结算价的97%，剩余竣工结算价3%作为质保金，待质保期2年满后一次性付清(无息)。   </w:t>
      </w:r>
    </w:p>
    <w:p w14:paraId="3760A728">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rPr>
          <w:rFonts w:hint="eastAsia" w:ascii="宋体" w:hAnsi="宋体" w:cs="宋体"/>
          <w:b/>
          <w:bCs/>
          <w:sz w:val="24"/>
          <w:szCs w:val="24"/>
          <w:highlight w:val="none"/>
        </w:rPr>
      </w:pPr>
      <w:r>
        <w:rPr>
          <w:rFonts w:hint="eastAsia" w:ascii="宋体" w:hAnsi="宋体" w:cs="宋体"/>
          <w:b/>
          <w:bCs/>
          <w:sz w:val="24"/>
          <w:szCs w:val="24"/>
          <w:highlight w:val="none"/>
          <w:lang w:val="en-US" w:eastAsia="zh-CN"/>
        </w:rPr>
        <w:t>十一、工程质量保修</w:t>
      </w:r>
      <w:r>
        <w:rPr>
          <w:rFonts w:hint="eastAsia" w:ascii="宋体" w:hAnsi="宋体" w:cs="宋体"/>
          <w:b/>
          <w:bCs/>
          <w:sz w:val="24"/>
          <w:szCs w:val="24"/>
          <w:highlight w:val="none"/>
        </w:rPr>
        <w:t>：</w:t>
      </w:r>
    </w:p>
    <w:p w14:paraId="33E296F3">
      <w:pPr>
        <w:keepNext w:val="0"/>
        <w:keepLines w:val="0"/>
        <w:pageBreakBefore w:val="0"/>
        <w:widowControl w:val="0"/>
        <w:numPr>
          <w:ilvl w:val="0"/>
          <w:numId w:val="0"/>
        </w:numPr>
        <w:kinsoku/>
        <w:wordWrap/>
        <w:overflowPunct/>
        <w:topLinePunct w:val="0"/>
        <w:bidi w:val="0"/>
        <w:snapToGrid/>
        <w:spacing w:line="560" w:lineRule="exact"/>
        <w:ind w:firstLine="480" w:firstLineChars="200"/>
        <w:textAlignment w:val="auto"/>
        <w:rPr>
          <w:rFonts w:hint="eastAsia"/>
          <w:sz w:val="24"/>
          <w:szCs w:val="24"/>
          <w:lang w:val="en-US" w:eastAsia="zh-CN"/>
        </w:rPr>
      </w:pPr>
      <w:r>
        <w:rPr>
          <w:rFonts w:hint="eastAsia"/>
          <w:sz w:val="24"/>
          <w:szCs w:val="24"/>
          <w:lang w:val="en-US" w:eastAsia="zh-CN"/>
        </w:rPr>
        <w:t>1、该工程质量保修期限24个月。</w:t>
      </w:r>
    </w:p>
    <w:p w14:paraId="1B099DAF">
      <w:pPr>
        <w:keepNext w:val="0"/>
        <w:keepLines w:val="0"/>
        <w:pageBreakBefore w:val="0"/>
        <w:widowControl w:val="0"/>
        <w:numPr>
          <w:ilvl w:val="0"/>
          <w:numId w:val="0"/>
        </w:numPr>
        <w:kinsoku/>
        <w:wordWrap/>
        <w:overflowPunct/>
        <w:topLinePunct w:val="0"/>
        <w:bidi w:val="0"/>
        <w:snapToGrid/>
        <w:spacing w:line="560" w:lineRule="exact"/>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2、属于保修范围、内容的项目，投标人应当在接到招标人维修通知之日起24小时内派人进行维修，并按照</w:t>
      </w:r>
      <w:r>
        <w:rPr>
          <w:rFonts w:hint="eastAsia" w:cs="Times New Roman"/>
          <w:sz w:val="24"/>
          <w:szCs w:val="24"/>
          <w:lang w:val="en-US" w:eastAsia="zh-CN"/>
        </w:rPr>
        <w:t>招标人</w:t>
      </w:r>
      <w:r>
        <w:rPr>
          <w:rFonts w:hint="eastAsia" w:ascii="Times New Roman" w:hAnsi="Times New Roman" w:eastAsia="宋体" w:cs="Times New Roman"/>
          <w:sz w:val="24"/>
          <w:szCs w:val="24"/>
          <w:lang w:val="en-US" w:eastAsia="zh-CN"/>
        </w:rPr>
        <w:t>要求的时限和工艺标准进行维修。投标人不在约定期限内派人保修、未按招标人要求进行维修、同一部位经两次维修仍存在质量问题的，招标人有权委托第三方维修，维修费用以第三方提供的费用清单为准，由投标人承担，投标人拒绝支付的，招标人有权直接自质保金中扣除相应维修款并直接支付给第三方。</w:t>
      </w:r>
      <w:bookmarkStart w:id="0" w:name="_Toc245092761"/>
      <w:bookmarkStart w:id="1" w:name="_Toc39733478"/>
      <w:bookmarkStart w:id="2" w:name="_Toc6595"/>
      <w:bookmarkStart w:id="3" w:name="_Toc220232390"/>
      <w:bookmarkStart w:id="4" w:name="_Toc273602341"/>
    </w:p>
    <w:p w14:paraId="14ADBE4F">
      <w:pPr>
        <w:pStyle w:val="3"/>
        <w:spacing w:line="500" w:lineRule="exact"/>
        <w:ind w:firstLine="482" w:firstLineChars="200"/>
        <w:jc w:val="both"/>
        <w:rPr>
          <w:rFonts w:hint="default"/>
          <w:sz w:val="24"/>
          <w:szCs w:val="24"/>
          <w:lang w:val="en-US" w:eastAsia="zh-CN"/>
        </w:rPr>
      </w:pPr>
      <w:r>
        <w:rPr>
          <w:rFonts w:hint="eastAsia"/>
          <w:sz w:val="24"/>
          <w:szCs w:val="24"/>
          <w:lang w:val="en-US" w:eastAsia="zh-CN"/>
        </w:rPr>
        <w:t>十二、附件  自流平防火封堵及桥架间防火隔板施工样板现场照片</w:t>
      </w:r>
    </w:p>
    <w:p w14:paraId="1C5CE1AC">
      <w:pPr>
        <w:pStyle w:val="3"/>
        <w:spacing w:line="500" w:lineRule="exact"/>
        <w:ind w:firstLine="0"/>
        <w:rPr>
          <w:rFonts w:hint="eastAsia"/>
          <w:sz w:val="24"/>
          <w:szCs w:val="24"/>
          <w:lang w:val="en-US" w:eastAsia="zh-CN"/>
        </w:rPr>
      </w:pPr>
    </w:p>
    <w:p w14:paraId="7CCB8607">
      <w:pPr>
        <w:rPr>
          <w:rFonts w:hint="eastAsia"/>
          <w:sz w:val="24"/>
          <w:szCs w:val="24"/>
          <w:lang w:val="en-US" w:eastAsia="zh-CN"/>
        </w:rPr>
      </w:pPr>
    </w:p>
    <w:p w14:paraId="1F57D7B7">
      <w:pPr>
        <w:rPr>
          <w:rFonts w:hint="eastAsia"/>
          <w:sz w:val="24"/>
          <w:szCs w:val="24"/>
          <w:lang w:val="en-US" w:eastAsia="zh-CN"/>
        </w:rPr>
      </w:pPr>
    </w:p>
    <w:p w14:paraId="1E02F087">
      <w:pPr>
        <w:rPr>
          <w:rFonts w:hint="eastAsia"/>
          <w:sz w:val="24"/>
          <w:szCs w:val="24"/>
          <w:lang w:val="en-US" w:eastAsia="zh-CN"/>
        </w:rPr>
      </w:pPr>
    </w:p>
    <w:p w14:paraId="694945C8">
      <w:pPr>
        <w:rPr>
          <w:rFonts w:hint="eastAsia"/>
          <w:sz w:val="24"/>
          <w:szCs w:val="24"/>
          <w:lang w:val="en-US" w:eastAsia="zh-CN"/>
        </w:rPr>
      </w:pPr>
    </w:p>
    <w:p w14:paraId="34DF0978">
      <w:pPr>
        <w:rPr>
          <w:rFonts w:hint="eastAsia"/>
          <w:sz w:val="24"/>
          <w:szCs w:val="24"/>
          <w:lang w:val="en-US" w:eastAsia="zh-CN"/>
        </w:rPr>
      </w:pPr>
    </w:p>
    <w:p w14:paraId="53319224">
      <w:pPr>
        <w:rPr>
          <w:rFonts w:hint="eastAsia"/>
          <w:sz w:val="24"/>
          <w:szCs w:val="24"/>
          <w:lang w:val="en-US" w:eastAsia="zh-CN"/>
        </w:rPr>
      </w:pPr>
    </w:p>
    <w:p w14:paraId="77D70FE6">
      <w:pPr>
        <w:rPr>
          <w:rFonts w:hint="eastAsia"/>
          <w:sz w:val="24"/>
          <w:szCs w:val="24"/>
          <w:lang w:val="en-US" w:eastAsia="zh-CN"/>
        </w:rPr>
      </w:pPr>
    </w:p>
    <w:bookmarkEnd w:id="0"/>
    <w:bookmarkEnd w:id="1"/>
    <w:bookmarkEnd w:id="2"/>
    <w:bookmarkEnd w:id="3"/>
    <w:bookmarkEnd w:id="4"/>
    <w:p w14:paraId="44B09DCF">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b/>
          <w:bCs/>
          <w:sz w:val="44"/>
          <w:szCs w:val="44"/>
          <w:highlight w:val="none"/>
          <w:lang w:val="en-US" w:eastAsia="zh-CN"/>
        </w:rPr>
      </w:pPr>
    </w:p>
    <w:p w14:paraId="5D5E8F2C">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b/>
          <w:bCs/>
          <w:sz w:val="44"/>
          <w:szCs w:val="44"/>
          <w:highlight w:val="none"/>
          <w:lang w:val="en-US" w:eastAsia="zh-CN"/>
        </w:rPr>
      </w:pPr>
    </w:p>
    <w:p w14:paraId="39BEE34D">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第二章 评标办法</w:t>
      </w:r>
    </w:p>
    <w:p w14:paraId="0D1C9F09">
      <w:pPr>
        <w:tabs>
          <w:tab w:val="left" w:pos="360"/>
          <w:tab w:val="left" w:pos="540"/>
          <w:tab w:val="left" w:pos="3600"/>
          <w:tab w:val="left" w:pos="3780"/>
          <w:tab w:val="left" w:pos="8460"/>
          <w:tab w:val="left" w:pos="9180"/>
        </w:tabs>
        <w:adjustRightInd w:val="0"/>
        <w:snapToGrid w:val="0"/>
        <w:spacing w:line="360" w:lineRule="auto"/>
        <w:jc w:val="center"/>
        <w:rPr>
          <w:rFonts w:hint="eastAsia" w:ascii="宋体" w:hAnsi="宋体"/>
          <w:b/>
          <w:sz w:val="24"/>
          <w:highlight w:val="none"/>
        </w:rPr>
      </w:pPr>
    </w:p>
    <w:p w14:paraId="6E2F6046">
      <w:pPr>
        <w:keepNext w:val="0"/>
        <w:keepLines w:val="0"/>
        <w:pageBreakBefore w:val="0"/>
        <w:widowControl w:val="0"/>
        <w:kinsoku/>
        <w:wordWrap/>
        <w:overflowPunct/>
        <w:topLinePunct w:val="0"/>
        <w:autoSpaceDE/>
        <w:autoSpaceDN/>
        <w:bidi w:val="0"/>
        <w:adjustRightInd w:val="0"/>
        <w:snapToGrid w:val="0"/>
        <w:spacing w:line="360" w:lineRule="auto"/>
        <w:ind w:right="-10" w:firstLine="482" w:firstLineChars="200"/>
        <w:textAlignment w:val="auto"/>
        <w:rPr>
          <w:rFonts w:hint="eastAsia" w:ascii="宋体" w:hAnsi="宋体"/>
          <w:sz w:val="24"/>
          <w:highlight w:val="none"/>
        </w:rPr>
      </w:pPr>
      <w:r>
        <w:rPr>
          <w:rFonts w:hint="eastAsia" w:ascii="宋体" w:hAnsi="宋体"/>
          <w:b/>
          <w:bCs/>
          <w:sz w:val="24"/>
          <w:highlight w:val="none"/>
        </w:rPr>
        <w:t xml:space="preserve">第一条 </w:t>
      </w:r>
      <w:r>
        <w:rPr>
          <w:rFonts w:hint="eastAsia" w:ascii="宋体" w:hAnsi="宋体"/>
          <w:sz w:val="24"/>
          <w:highlight w:val="none"/>
        </w:rPr>
        <w:t>为了做好项目的招标评标工作，保证项目评审工作的正常有序进行，依据《中华人民共和国政府采购法》、《中华人民共和国招标投标法》及其它相关法律法规，本着公开、公平、公正的原则，制定评标办法。</w:t>
      </w:r>
    </w:p>
    <w:p w14:paraId="3BF3F473">
      <w:pPr>
        <w:keepNext w:val="0"/>
        <w:keepLines w:val="0"/>
        <w:pageBreakBefore w:val="0"/>
        <w:widowControl w:val="0"/>
        <w:kinsoku/>
        <w:wordWrap/>
        <w:overflowPunct/>
        <w:topLinePunct w:val="0"/>
        <w:autoSpaceDE/>
        <w:autoSpaceDN/>
        <w:bidi w:val="0"/>
        <w:adjustRightInd w:val="0"/>
        <w:snapToGrid w:val="0"/>
        <w:spacing w:line="360" w:lineRule="auto"/>
        <w:ind w:right="-10" w:firstLine="482" w:firstLineChars="200"/>
        <w:textAlignment w:val="auto"/>
        <w:rPr>
          <w:rFonts w:hint="eastAsia" w:ascii="宋体" w:hAnsi="宋体"/>
          <w:sz w:val="24"/>
          <w:highlight w:val="none"/>
        </w:rPr>
      </w:pPr>
      <w:r>
        <w:rPr>
          <w:rFonts w:hint="eastAsia" w:ascii="宋体" w:hAnsi="宋体"/>
          <w:b/>
          <w:bCs/>
          <w:sz w:val="24"/>
          <w:highlight w:val="none"/>
        </w:rPr>
        <w:t xml:space="preserve">第二条 </w:t>
      </w:r>
      <w:r>
        <w:rPr>
          <w:rFonts w:hint="eastAsia" w:ascii="宋体" w:hAnsi="宋体"/>
          <w:sz w:val="24"/>
          <w:highlight w:val="none"/>
        </w:rPr>
        <w:t>本次项目评标采用</w:t>
      </w:r>
      <w:r>
        <w:rPr>
          <w:rFonts w:hint="eastAsia" w:ascii="宋体" w:hAnsi="宋体"/>
          <w:b/>
          <w:sz w:val="24"/>
          <w:highlight w:val="none"/>
        </w:rPr>
        <w:t>综合评分法</w:t>
      </w:r>
      <w:r>
        <w:rPr>
          <w:rFonts w:hint="eastAsia" w:ascii="宋体" w:hAnsi="宋体"/>
          <w:sz w:val="24"/>
          <w:highlight w:val="none"/>
        </w:rPr>
        <w:t>作为对投标人标书的比较方法</w:t>
      </w:r>
      <w:r>
        <w:rPr>
          <w:rFonts w:hint="eastAsia" w:ascii="宋体" w:hAnsi="宋体" w:cs="宋体-18030"/>
          <w:sz w:val="24"/>
          <w:highlight w:val="none"/>
        </w:rPr>
        <w:t>。</w:t>
      </w:r>
    </w:p>
    <w:p w14:paraId="7B1B695D">
      <w:pPr>
        <w:keepNext w:val="0"/>
        <w:keepLines w:val="0"/>
        <w:pageBreakBefore w:val="0"/>
        <w:widowControl w:val="0"/>
        <w:kinsoku/>
        <w:wordWrap/>
        <w:overflowPunct/>
        <w:topLinePunct w:val="0"/>
        <w:autoSpaceDE/>
        <w:autoSpaceDN/>
        <w:bidi w:val="0"/>
        <w:adjustRightInd w:val="0"/>
        <w:snapToGrid w:val="0"/>
        <w:spacing w:line="360" w:lineRule="auto"/>
        <w:ind w:right="-10" w:firstLine="482" w:firstLineChars="200"/>
        <w:textAlignment w:val="auto"/>
        <w:rPr>
          <w:rFonts w:hint="eastAsia" w:ascii="宋体" w:hAnsi="宋体"/>
          <w:sz w:val="24"/>
          <w:highlight w:val="none"/>
        </w:rPr>
      </w:pPr>
      <w:r>
        <w:rPr>
          <w:rFonts w:hint="eastAsia" w:ascii="宋体" w:hAnsi="宋体"/>
          <w:b/>
          <w:bCs/>
          <w:sz w:val="24"/>
          <w:highlight w:val="none"/>
        </w:rPr>
        <w:t xml:space="preserve">第三条 </w:t>
      </w:r>
      <w:r>
        <w:rPr>
          <w:rFonts w:hint="eastAsia" w:ascii="宋体" w:hAnsi="宋体"/>
          <w:sz w:val="24"/>
          <w:highlight w:val="none"/>
        </w:rPr>
        <w:t>采购人将组织不少于</w:t>
      </w:r>
      <w:r>
        <w:rPr>
          <w:rFonts w:hint="eastAsia" w:ascii="宋体" w:hAnsi="宋体"/>
          <w:sz w:val="24"/>
          <w:highlight w:val="none"/>
          <w:u w:val="single"/>
          <w:lang w:val="en-US" w:eastAsia="zh-CN"/>
        </w:rPr>
        <w:t>3</w:t>
      </w:r>
      <w:r>
        <w:rPr>
          <w:rFonts w:hint="eastAsia" w:ascii="宋体" w:hAnsi="宋体"/>
          <w:sz w:val="24"/>
          <w:highlight w:val="none"/>
        </w:rPr>
        <w:t>人组成的评标委员会（以下简称评委会），负责本项目的评标工作。采购人内部监督小组，负责评标过程中的记录、联络及评委会交办的其他工作。</w:t>
      </w:r>
    </w:p>
    <w:p w14:paraId="3B2FCADC">
      <w:pPr>
        <w:keepNext w:val="0"/>
        <w:keepLines w:val="0"/>
        <w:pageBreakBefore w:val="0"/>
        <w:widowControl w:val="0"/>
        <w:kinsoku/>
        <w:wordWrap/>
        <w:overflowPunct/>
        <w:topLinePunct w:val="0"/>
        <w:autoSpaceDE/>
        <w:autoSpaceDN/>
        <w:bidi w:val="0"/>
        <w:adjustRightInd w:val="0"/>
        <w:snapToGrid w:val="0"/>
        <w:spacing w:line="360" w:lineRule="auto"/>
        <w:ind w:right="-10" w:firstLine="482" w:firstLineChars="200"/>
        <w:textAlignment w:val="auto"/>
        <w:rPr>
          <w:rFonts w:hint="eastAsia"/>
        </w:rPr>
      </w:pPr>
      <w:r>
        <w:rPr>
          <w:rFonts w:hint="eastAsia" w:ascii="宋体" w:hAnsi="宋体"/>
          <w:b/>
          <w:sz w:val="24"/>
          <w:highlight w:val="none"/>
        </w:rPr>
        <w:t xml:space="preserve">第四条 </w:t>
      </w:r>
      <w:r>
        <w:rPr>
          <w:rFonts w:hint="eastAsia" w:ascii="宋体" w:hAnsi="宋体"/>
          <w:sz w:val="24"/>
          <w:highlight w:val="none"/>
        </w:rPr>
        <w:t>评委会按照“客观公正，实事求是”的原则，评价参加本次招标的投标人所提供的服务对招标文件的符合性及响应性。</w:t>
      </w:r>
    </w:p>
    <w:p w14:paraId="4139C2F6">
      <w:pPr>
        <w:keepNext w:val="0"/>
        <w:keepLines w:val="0"/>
        <w:pageBreakBefore w:val="0"/>
        <w:widowControl w:val="0"/>
        <w:kinsoku/>
        <w:wordWrap/>
        <w:overflowPunct/>
        <w:topLinePunct w:val="0"/>
        <w:autoSpaceDE/>
        <w:autoSpaceDN/>
        <w:bidi w:val="0"/>
        <w:adjustRightInd w:val="0"/>
        <w:snapToGrid w:val="0"/>
        <w:spacing w:line="360" w:lineRule="auto"/>
        <w:ind w:right="-10" w:firstLine="480"/>
        <w:textAlignment w:val="auto"/>
        <w:rPr>
          <w:rFonts w:hint="eastAsia" w:ascii="宋体" w:hAnsi="宋体"/>
          <w:sz w:val="24"/>
          <w:highlight w:val="none"/>
        </w:rPr>
      </w:pPr>
      <w:r>
        <w:rPr>
          <w:rFonts w:hint="eastAsia" w:ascii="宋体" w:hAnsi="宋体"/>
          <w:b/>
          <w:sz w:val="24"/>
          <w:highlight w:val="none"/>
        </w:rPr>
        <w:t>第五条</w:t>
      </w:r>
      <w:r>
        <w:rPr>
          <w:rFonts w:hint="eastAsia" w:ascii="宋体" w:hAnsi="宋体"/>
          <w:sz w:val="24"/>
          <w:highlight w:val="none"/>
        </w:rPr>
        <w:t xml:space="preserve"> 评标工作于开标后进行。评委会应认真研究招标文件，至少应了解和熟悉以下内容：</w:t>
      </w:r>
    </w:p>
    <w:p w14:paraId="317172A9">
      <w:pPr>
        <w:keepNext w:val="0"/>
        <w:keepLines w:val="0"/>
        <w:pageBreakBefore w:val="0"/>
        <w:widowControl w:val="0"/>
        <w:kinsoku/>
        <w:wordWrap/>
        <w:overflowPunct/>
        <w:topLinePunct w:val="0"/>
        <w:autoSpaceDE/>
        <w:autoSpaceDN/>
        <w:bidi w:val="0"/>
        <w:spacing w:line="360" w:lineRule="auto"/>
        <w:ind w:left="480" w:right="-10"/>
        <w:textAlignment w:val="auto"/>
        <w:rPr>
          <w:rFonts w:hint="eastAsia" w:ascii="宋体" w:hAnsi="宋体"/>
          <w:sz w:val="24"/>
          <w:highlight w:val="none"/>
        </w:rPr>
      </w:pPr>
      <w:r>
        <w:rPr>
          <w:rFonts w:hint="eastAsia" w:ascii="宋体" w:hAnsi="宋体"/>
          <w:sz w:val="24"/>
          <w:highlight w:val="none"/>
        </w:rPr>
        <w:t>（一）招标的目标；</w:t>
      </w:r>
    </w:p>
    <w:p w14:paraId="68E93755">
      <w:pPr>
        <w:keepNext w:val="0"/>
        <w:keepLines w:val="0"/>
        <w:pageBreakBefore w:val="0"/>
        <w:widowControl w:val="0"/>
        <w:kinsoku/>
        <w:wordWrap/>
        <w:overflowPunct/>
        <w:topLinePunct w:val="0"/>
        <w:autoSpaceDE/>
        <w:autoSpaceDN/>
        <w:bidi w:val="0"/>
        <w:spacing w:line="360" w:lineRule="auto"/>
        <w:ind w:left="480" w:right="-10"/>
        <w:textAlignment w:val="auto"/>
        <w:rPr>
          <w:rFonts w:hint="eastAsia" w:ascii="宋体" w:hAnsi="宋体"/>
          <w:sz w:val="24"/>
          <w:highlight w:val="none"/>
        </w:rPr>
      </w:pPr>
      <w:r>
        <w:rPr>
          <w:rFonts w:hint="eastAsia" w:ascii="宋体" w:hAnsi="宋体"/>
          <w:sz w:val="24"/>
          <w:highlight w:val="none"/>
        </w:rPr>
        <w:t>（二）招标项目的范围和性质；</w:t>
      </w:r>
    </w:p>
    <w:p w14:paraId="6AA78DF4">
      <w:pPr>
        <w:keepNext w:val="0"/>
        <w:keepLines w:val="0"/>
        <w:pageBreakBefore w:val="0"/>
        <w:widowControl w:val="0"/>
        <w:kinsoku/>
        <w:wordWrap/>
        <w:overflowPunct/>
        <w:topLinePunct w:val="0"/>
        <w:autoSpaceDE/>
        <w:autoSpaceDN/>
        <w:bidi w:val="0"/>
        <w:spacing w:line="360" w:lineRule="auto"/>
        <w:ind w:left="480" w:right="-10"/>
        <w:textAlignment w:val="auto"/>
        <w:rPr>
          <w:rFonts w:hint="eastAsia" w:ascii="宋体" w:hAnsi="宋体"/>
          <w:sz w:val="24"/>
          <w:highlight w:val="none"/>
        </w:rPr>
      </w:pPr>
      <w:r>
        <w:rPr>
          <w:rFonts w:hint="eastAsia" w:ascii="宋体" w:hAnsi="宋体"/>
          <w:sz w:val="24"/>
          <w:highlight w:val="none"/>
        </w:rPr>
        <w:t>（三）招标文件中规定的主要服务要求、标准和商务条款；</w:t>
      </w:r>
    </w:p>
    <w:p w14:paraId="299D6088">
      <w:pPr>
        <w:keepNext w:val="0"/>
        <w:keepLines w:val="0"/>
        <w:pageBreakBefore w:val="0"/>
        <w:widowControl w:val="0"/>
        <w:kinsoku/>
        <w:wordWrap/>
        <w:overflowPunct/>
        <w:topLinePunct w:val="0"/>
        <w:autoSpaceDE/>
        <w:autoSpaceDN/>
        <w:bidi w:val="0"/>
        <w:spacing w:line="360" w:lineRule="auto"/>
        <w:ind w:left="480" w:right="-10"/>
        <w:textAlignment w:val="auto"/>
        <w:rPr>
          <w:rFonts w:hint="eastAsia" w:ascii="宋体" w:hAnsi="宋体"/>
          <w:sz w:val="24"/>
          <w:highlight w:val="none"/>
        </w:rPr>
      </w:pPr>
      <w:r>
        <w:rPr>
          <w:rFonts w:hint="eastAsia" w:ascii="宋体" w:hAnsi="宋体"/>
          <w:sz w:val="24"/>
          <w:highlight w:val="none"/>
        </w:rPr>
        <w:t>（四）招标文件规定的评标标准、评标方法和在评标过程中考虑的相关因素。</w:t>
      </w:r>
    </w:p>
    <w:p w14:paraId="1AC1DC04">
      <w:pPr>
        <w:keepNext w:val="0"/>
        <w:keepLines w:val="0"/>
        <w:pageBreakBefore w:val="0"/>
        <w:widowControl w:val="0"/>
        <w:kinsoku/>
        <w:wordWrap/>
        <w:overflowPunct/>
        <w:topLinePunct w:val="0"/>
        <w:autoSpaceDE/>
        <w:autoSpaceDN/>
        <w:bidi w:val="0"/>
        <w:adjustRightInd w:val="0"/>
        <w:snapToGrid w:val="0"/>
        <w:spacing w:line="360" w:lineRule="auto"/>
        <w:ind w:right="-10" w:firstLine="482" w:firstLineChars="200"/>
        <w:textAlignment w:val="auto"/>
        <w:rPr>
          <w:rFonts w:hint="eastAsia" w:ascii="宋体" w:hAnsi="宋体"/>
          <w:sz w:val="24"/>
          <w:highlight w:val="none"/>
        </w:rPr>
      </w:pPr>
      <w:r>
        <w:rPr>
          <w:rFonts w:hint="eastAsia" w:ascii="宋体" w:hAnsi="宋体"/>
          <w:b/>
          <w:sz w:val="24"/>
          <w:highlight w:val="none"/>
        </w:rPr>
        <w:t>第六条</w:t>
      </w:r>
      <w:r>
        <w:rPr>
          <w:rFonts w:hint="eastAsia" w:ascii="宋体" w:hAnsi="宋体"/>
          <w:sz w:val="24"/>
          <w:highlight w:val="none"/>
        </w:rPr>
        <w:t xml:space="preserve"> 有效投标应符合以下原则：</w:t>
      </w:r>
    </w:p>
    <w:p w14:paraId="25082D13">
      <w:pPr>
        <w:keepNext w:val="0"/>
        <w:keepLines w:val="0"/>
        <w:pageBreakBefore w:val="0"/>
        <w:widowControl w:val="0"/>
        <w:kinsoku/>
        <w:wordWrap/>
        <w:overflowPunct/>
        <w:topLinePunct w:val="0"/>
        <w:autoSpaceDE/>
        <w:autoSpaceDN/>
        <w:bidi w:val="0"/>
        <w:spacing w:line="360" w:lineRule="auto"/>
        <w:ind w:left="480" w:right="-10"/>
        <w:textAlignment w:val="auto"/>
        <w:rPr>
          <w:rFonts w:hint="eastAsia" w:ascii="宋体" w:hAnsi="宋体"/>
          <w:sz w:val="24"/>
          <w:highlight w:val="none"/>
        </w:rPr>
      </w:pPr>
      <w:r>
        <w:rPr>
          <w:rFonts w:hint="eastAsia" w:ascii="宋体" w:hAnsi="宋体"/>
          <w:sz w:val="24"/>
          <w:highlight w:val="none"/>
        </w:rPr>
        <w:t>（一）完全响应招标文件要求；</w:t>
      </w:r>
    </w:p>
    <w:p w14:paraId="0964C776">
      <w:pPr>
        <w:keepNext w:val="0"/>
        <w:keepLines w:val="0"/>
        <w:pageBreakBefore w:val="0"/>
        <w:widowControl w:val="0"/>
        <w:kinsoku/>
        <w:wordWrap/>
        <w:overflowPunct/>
        <w:topLinePunct w:val="0"/>
        <w:autoSpaceDE/>
        <w:autoSpaceDN/>
        <w:bidi w:val="0"/>
        <w:spacing w:line="360" w:lineRule="auto"/>
        <w:ind w:left="480" w:right="-10"/>
        <w:textAlignment w:val="auto"/>
        <w:rPr>
          <w:rFonts w:hint="eastAsia" w:ascii="宋体" w:hAnsi="宋体"/>
          <w:sz w:val="24"/>
          <w:highlight w:val="none"/>
        </w:rPr>
      </w:pPr>
      <w:r>
        <w:rPr>
          <w:rFonts w:hint="eastAsia" w:ascii="宋体" w:hAnsi="宋体"/>
          <w:sz w:val="24"/>
          <w:highlight w:val="none"/>
        </w:rPr>
        <w:t>（二）无重大偏离、保留或招标人不能接受的附加条件；</w:t>
      </w:r>
    </w:p>
    <w:p w14:paraId="14DB1754">
      <w:pPr>
        <w:keepNext w:val="0"/>
        <w:keepLines w:val="0"/>
        <w:pageBreakBefore w:val="0"/>
        <w:widowControl w:val="0"/>
        <w:kinsoku/>
        <w:wordWrap/>
        <w:overflowPunct/>
        <w:topLinePunct w:val="0"/>
        <w:autoSpaceDE/>
        <w:autoSpaceDN/>
        <w:bidi w:val="0"/>
        <w:spacing w:line="360" w:lineRule="auto"/>
        <w:ind w:left="480" w:right="-10"/>
        <w:textAlignment w:val="auto"/>
        <w:rPr>
          <w:rFonts w:hint="eastAsia" w:ascii="宋体" w:hAnsi="宋体"/>
          <w:sz w:val="24"/>
          <w:highlight w:val="none"/>
        </w:rPr>
      </w:pPr>
      <w:r>
        <w:rPr>
          <w:rFonts w:hint="eastAsia" w:ascii="宋体" w:hAnsi="宋体"/>
          <w:sz w:val="24"/>
          <w:highlight w:val="none"/>
        </w:rPr>
        <w:t>（三）通过投标初审；</w:t>
      </w:r>
    </w:p>
    <w:p w14:paraId="33485E15">
      <w:pPr>
        <w:keepNext w:val="0"/>
        <w:keepLines w:val="0"/>
        <w:pageBreakBefore w:val="0"/>
        <w:widowControl w:val="0"/>
        <w:kinsoku/>
        <w:wordWrap/>
        <w:overflowPunct/>
        <w:topLinePunct w:val="0"/>
        <w:autoSpaceDE/>
        <w:autoSpaceDN/>
        <w:bidi w:val="0"/>
        <w:adjustRightInd w:val="0"/>
        <w:snapToGrid w:val="0"/>
        <w:spacing w:line="360" w:lineRule="auto"/>
        <w:ind w:right="-10" w:firstLine="480" w:firstLineChars="200"/>
        <w:textAlignment w:val="auto"/>
        <w:rPr>
          <w:rFonts w:hint="eastAsia" w:ascii="宋体" w:hAnsi="宋体"/>
          <w:sz w:val="24"/>
          <w:highlight w:val="none"/>
        </w:rPr>
      </w:pPr>
      <w:r>
        <w:rPr>
          <w:rFonts w:hint="eastAsia" w:ascii="宋体" w:hAnsi="宋体"/>
          <w:sz w:val="24"/>
          <w:highlight w:val="none"/>
        </w:rPr>
        <w:t>（四）报价不高于限价；</w:t>
      </w:r>
    </w:p>
    <w:p w14:paraId="45007E71">
      <w:pPr>
        <w:keepNext w:val="0"/>
        <w:keepLines w:val="0"/>
        <w:pageBreakBefore w:val="0"/>
        <w:widowControl w:val="0"/>
        <w:kinsoku/>
        <w:wordWrap/>
        <w:overflowPunct/>
        <w:topLinePunct w:val="0"/>
        <w:autoSpaceDE/>
        <w:autoSpaceDN/>
        <w:bidi w:val="0"/>
        <w:adjustRightInd w:val="0"/>
        <w:snapToGrid w:val="0"/>
        <w:spacing w:line="360" w:lineRule="auto"/>
        <w:ind w:right="-10" w:firstLine="480" w:firstLineChars="200"/>
        <w:textAlignment w:val="auto"/>
        <w:rPr>
          <w:rFonts w:hint="eastAsia" w:ascii="宋体" w:hAnsi="宋体"/>
          <w:sz w:val="24"/>
          <w:highlight w:val="none"/>
        </w:rPr>
      </w:pPr>
      <w:r>
        <w:rPr>
          <w:rFonts w:hint="eastAsia" w:ascii="宋体" w:hAnsi="宋体"/>
          <w:sz w:val="24"/>
          <w:highlight w:val="none"/>
        </w:rPr>
        <w:t>（五）评委会依据招标文件认定的其他原则。</w:t>
      </w:r>
    </w:p>
    <w:p w14:paraId="1EFAFD8C">
      <w:pPr>
        <w:keepNext w:val="0"/>
        <w:keepLines w:val="0"/>
        <w:pageBreakBefore w:val="0"/>
        <w:widowControl w:val="0"/>
        <w:kinsoku/>
        <w:wordWrap/>
        <w:overflowPunct/>
        <w:topLinePunct w:val="0"/>
        <w:autoSpaceDE/>
        <w:autoSpaceDN/>
        <w:bidi w:val="0"/>
        <w:adjustRightInd w:val="0"/>
        <w:snapToGrid w:val="0"/>
        <w:spacing w:line="360" w:lineRule="auto"/>
        <w:ind w:right="-10" w:firstLine="482" w:firstLineChars="200"/>
        <w:textAlignment w:val="auto"/>
        <w:rPr>
          <w:rFonts w:hint="eastAsia" w:ascii="宋体" w:hAnsi="宋体"/>
          <w:sz w:val="24"/>
          <w:highlight w:val="none"/>
        </w:rPr>
      </w:pPr>
      <w:r>
        <w:rPr>
          <w:rFonts w:hint="eastAsia" w:ascii="宋体" w:hAnsi="宋体"/>
          <w:b/>
          <w:sz w:val="24"/>
          <w:highlight w:val="none"/>
        </w:rPr>
        <w:t xml:space="preserve">第七条 </w:t>
      </w:r>
      <w:r>
        <w:rPr>
          <w:rFonts w:hint="eastAsia" w:ascii="宋体" w:hAnsi="宋体" w:cs="宋体-18030"/>
          <w:sz w:val="24"/>
          <w:highlight w:val="none"/>
        </w:rPr>
        <w:t>评委会遵循公开、公平、公正和科学诚信的原则，对所有投标文件均采用相同程序和标准，进行评定。</w:t>
      </w:r>
    </w:p>
    <w:p w14:paraId="002129BB">
      <w:pPr>
        <w:keepNext w:val="0"/>
        <w:keepLines w:val="0"/>
        <w:pageBreakBefore w:val="0"/>
        <w:widowControl w:val="0"/>
        <w:kinsoku/>
        <w:wordWrap/>
        <w:overflowPunct/>
        <w:topLinePunct w:val="0"/>
        <w:autoSpaceDE/>
        <w:autoSpaceDN/>
        <w:bidi w:val="0"/>
        <w:spacing w:line="360" w:lineRule="auto"/>
        <w:ind w:left="523" w:leftChars="249"/>
        <w:textAlignment w:val="auto"/>
        <w:rPr>
          <w:rFonts w:hint="eastAsia" w:ascii="宋体" w:hAnsi="宋体" w:cs="宋体-18030"/>
          <w:sz w:val="24"/>
          <w:highlight w:val="none"/>
        </w:rPr>
      </w:pPr>
      <w:r>
        <w:rPr>
          <w:rFonts w:hint="eastAsia" w:ascii="宋体" w:hAnsi="宋体"/>
          <w:b/>
          <w:sz w:val="24"/>
          <w:highlight w:val="none"/>
        </w:rPr>
        <w:t>第八条</w:t>
      </w:r>
      <w:r>
        <w:rPr>
          <w:rFonts w:hint="eastAsia" w:ascii="宋体" w:hAnsi="宋体" w:cs="宋体-18030"/>
          <w:sz w:val="24"/>
          <w:highlight w:val="none"/>
        </w:rPr>
        <w:t xml:space="preserve"> 评审程序</w:t>
      </w:r>
    </w:p>
    <w:p w14:paraId="1FE1F9FB">
      <w:pPr>
        <w:keepNext w:val="0"/>
        <w:keepLines w:val="0"/>
        <w:pageBreakBefore w:val="0"/>
        <w:widowControl w:val="0"/>
        <w:kinsoku/>
        <w:wordWrap/>
        <w:overflowPunct/>
        <w:topLinePunct w:val="0"/>
        <w:autoSpaceDE/>
        <w:autoSpaceDN/>
        <w:bidi w:val="0"/>
        <w:spacing w:line="360" w:lineRule="auto"/>
        <w:ind w:right="-10" w:firstLine="480"/>
        <w:textAlignment w:val="auto"/>
        <w:rPr>
          <w:rFonts w:hint="eastAsia" w:ascii="宋体" w:hAnsi="宋体"/>
          <w:sz w:val="24"/>
          <w:highlight w:val="none"/>
        </w:rPr>
      </w:pPr>
      <w:r>
        <w:rPr>
          <w:rFonts w:hint="eastAsia" w:ascii="宋体" w:hAnsi="宋体"/>
          <w:sz w:val="24"/>
          <w:highlight w:val="none"/>
        </w:rPr>
        <w:t>1.本项目采用综合评分法进行评审，在最大限度地满足招标文件实质性要求前提下，按照招标文件中规定的各项因素进行综合评审。综合评分法的主要因素是：资格资质、技术、商务以及报价的比重。满分为100分。</w:t>
      </w:r>
    </w:p>
    <w:p w14:paraId="4FD0B7AE">
      <w:pPr>
        <w:keepNext w:val="0"/>
        <w:keepLines w:val="0"/>
        <w:pageBreakBefore w:val="0"/>
        <w:widowControl w:val="0"/>
        <w:kinsoku/>
        <w:wordWrap/>
        <w:overflowPunct/>
        <w:topLinePunct w:val="0"/>
        <w:autoSpaceDE/>
        <w:autoSpaceDN/>
        <w:bidi w:val="0"/>
        <w:spacing w:line="360" w:lineRule="auto"/>
        <w:ind w:right="-10" w:firstLine="480" w:firstLineChars="200"/>
        <w:textAlignment w:val="auto"/>
        <w:rPr>
          <w:rFonts w:hint="eastAsia" w:ascii="宋体" w:hAnsi="宋体"/>
          <w:sz w:val="24"/>
          <w:highlight w:val="none"/>
        </w:rPr>
      </w:pPr>
      <w:r>
        <w:rPr>
          <w:rFonts w:hint="eastAsia" w:ascii="宋体" w:hAnsi="宋体"/>
          <w:sz w:val="24"/>
          <w:highlight w:val="none"/>
        </w:rPr>
        <w:t>2</w:t>
      </w:r>
      <w:r>
        <w:rPr>
          <w:rFonts w:ascii="宋体" w:hAnsi="宋体"/>
          <w:sz w:val="24"/>
          <w:highlight w:val="none"/>
        </w:rPr>
        <w:t>.</w:t>
      </w:r>
      <w:r>
        <w:rPr>
          <w:rFonts w:hint="eastAsia" w:ascii="宋体" w:hAnsi="宋体"/>
          <w:sz w:val="24"/>
          <w:highlight w:val="none"/>
        </w:rPr>
        <w:t>评委会首先对投标文件进行初审，投标文件应实质上响应招标文件的要求，应与招标文件所有条款、条件和规定相符，无显著差异或保留。对内容不全，影响正常评标的投标文件由评标委员会初审后按无效标书处理。</w:t>
      </w:r>
    </w:p>
    <w:p w14:paraId="63BFF77E">
      <w:pPr>
        <w:keepNext w:val="0"/>
        <w:keepLines w:val="0"/>
        <w:pageBreakBefore w:val="0"/>
        <w:widowControl w:val="0"/>
        <w:numPr>
          <w:ilvl w:val="0"/>
          <w:numId w:val="0"/>
        </w:numPr>
        <w:kinsoku/>
        <w:wordWrap/>
        <w:overflowPunct/>
        <w:topLinePunct w:val="0"/>
        <w:autoSpaceDE/>
        <w:autoSpaceDN/>
        <w:bidi w:val="0"/>
        <w:spacing w:line="360" w:lineRule="auto"/>
        <w:jc w:val="both"/>
        <w:textAlignment w:val="auto"/>
        <w:rPr>
          <w:rFonts w:hint="eastAsia" w:ascii="宋体" w:hAnsi="宋体" w:eastAsia="宋体"/>
          <w:b/>
          <w:bCs/>
          <w:sz w:val="44"/>
          <w:szCs w:val="44"/>
          <w:highlight w:val="none"/>
        </w:rPr>
      </w:pPr>
    </w:p>
    <w:p w14:paraId="150D7214">
      <w:pPr>
        <w:keepNext w:val="0"/>
        <w:keepLines w:val="0"/>
        <w:pageBreakBefore w:val="0"/>
        <w:widowControl w:val="0"/>
        <w:numPr>
          <w:ilvl w:val="0"/>
          <w:numId w:val="0"/>
        </w:numPr>
        <w:kinsoku/>
        <w:wordWrap/>
        <w:overflowPunct/>
        <w:topLinePunct w:val="0"/>
        <w:autoSpaceDE/>
        <w:autoSpaceDN/>
        <w:bidi w:val="0"/>
        <w:spacing w:line="360" w:lineRule="auto"/>
        <w:jc w:val="center"/>
        <w:textAlignment w:val="auto"/>
        <w:rPr>
          <w:rFonts w:hint="default" w:ascii="宋体" w:hAnsi="宋体" w:eastAsia="宋体"/>
          <w:b/>
          <w:bCs/>
          <w:sz w:val="44"/>
          <w:szCs w:val="44"/>
          <w:highlight w:val="none"/>
          <w:lang w:val="en-US" w:eastAsia="zh-CN"/>
        </w:rPr>
      </w:pPr>
      <w:r>
        <w:rPr>
          <w:rFonts w:hint="eastAsia" w:ascii="宋体" w:hAnsi="宋体" w:eastAsia="宋体"/>
          <w:b/>
          <w:bCs/>
          <w:sz w:val="44"/>
          <w:szCs w:val="44"/>
          <w:highlight w:val="none"/>
          <w:lang w:val="en-US" w:eastAsia="zh-CN"/>
        </w:rPr>
        <w:t>评分标准表</w:t>
      </w:r>
    </w:p>
    <w:tbl>
      <w:tblPr>
        <w:tblStyle w:val="14"/>
        <w:tblW w:w="5066" w:type="pct"/>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66"/>
        <w:gridCol w:w="1400"/>
        <w:gridCol w:w="5560"/>
      </w:tblGrid>
      <w:tr w14:paraId="21F7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464" w:type="dxa"/>
            <w:noWrap w:val="0"/>
            <w:vAlign w:val="center"/>
          </w:tcPr>
          <w:p w14:paraId="7C837D92">
            <w:pPr>
              <w:widowControl/>
              <w:spacing w:line="360" w:lineRule="auto"/>
              <w:jc w:val="center"/>
              <w:rPr>
                <w:rFonts w:hint="eastAsia" w:ascii="宋体" w:hAnsi="宋体" w:cs="宋体"/>
                <w:b/>
                <w:bCs/>
                <w:color w:val="auto"/>
                <w:kern w:val="0"/>
                <w:sz w:val="24"/>
                <w:highlight w:val="none"/>
              </w:rPr>
            </w:pPr>
            <w:r>
              <w:rPr>
                <w:rFonts w:hint="eastAsia" w:ascii="Times New Roman" w:cs="宋体"/>
                <w:b/>
                <w:bCs/>
                <w:color w:val="auto"/>
                <w:sz w:val="24"/>
                <w:szCs w:val="24"/>
                <w:highlight w:val="none"/>
              </w:rPr>
              <w:t>条款号</w:t>
            </w:r>
          </w:p>
        </w:tc>
        <w:tc>
          <w:tcPr>
            <w:tcW w:w="1398" w:type="dxa"/>
            <w:noWrap w:val="0"/>
            <w:vAlign w:val="center"/>
          </w:tcPr>
          <w:p w14:paraId="178EDD0E">
            <w:pPr>
              <w:widowControl/>
              <w:spacing w:line="360" w:lineRule="auto"/>
              <w:ind w:firstLine="120" w:firstLineChars="50"/>
              <w:jc w:val="center"/>
              <w:rPr>
                <w:rFonts w:hint="eastAsia" w:ascii="宋体" w:hAnsi="宋体" w:cs="宋体"/>
                <w:b/>
                <w:bCs/>
                <w:color w:val="auto"/>
                <w:kern w:val="0"/>
                <w:sz w:val="24"/>
                <w:highlight w:val="none"/>
              </w:rPr>
            </w:pPr>
            <w:r>
              <w:rPr>
                <w:rFonts w:hint="eastAsia" w:ascii="Times New Roman" w:cs="宋体"/>
                <w:b/>
                <w:bCs/>
                <w:color w:val="auto"/>
                <w:sz w:val="24"/>
                <w:szCs w:val="24"/>
                <w:highlight w:val="none"/>
              </w:rPr>
              <w:t>评审因素</w:t>
            </w:r>
          </w:p>
        </w:tc>
        <w:tc>
          <w:tcPr>
            <w:tcW w:w="5554" w:type="dxa"/>
            <w:noWrap w:val="0"/>
            <w:vAlign w:val="center"/>
          </w:tcPr>
          <w:p w14:paraId="4D9BBA0C">
            <w:pPr>
              <w:widowControl/>
              <w:spacing w:line="360" w:lineRule="auto"/>
              <w:ind w:firstLine="120" w:firstLineChars="50"/>
              <w:jc w:val="center"/>
              <w:rPr>
                <w:rFonts w:hint="eastAsia" w:ascii="宋体" w:hAnsi="宋体" w:cs="宋体"/>
                <w:b/>
                <w:bCs/>
                <w:color w:val="auto"/>
                <w:kern w:val="0"/>
                <w:sz w:val="24"/>
                <w:highlight w:val="none"/>
              </w:rPr>
            </w:pPr>
            <w:r>
              <w:rPr>
                <w:rFonts w:hint="eastAsia" w:ascii="Times New Roman" w:cs="宋体"/>
                <w:b/>
                <w:bCs/>
                <w:color w:val="auto"/>
                <w:sz w:val="24"/>
                <w:szCs w:val="24"/>
                <w:highlight w:val="none"/>
              </w:rPr>
              <w:t>评审标准</w:t>
            </w:r>
          </w:p>
        </w:tc>
      </w:tr>
      <w:tr w14:paraId="4893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464" w:type="dxa"/>
            <w:noWrap w:val="0"/>
            <w:vAlign w:val="center"/>
          </w:tcPr>
          <w:p w14:paraId="156C9EC6">
            <w:pPr>
              <w:widowControl/>
              <w:spacing w:line="360" w:lineRule="auto"/>
              <w:jc w:val="center"/>
              <w:rPr>
                <w:rFonts w:hint="eastAsia" w:ascii="宋体" w:hAnsi="宋体" w:eastAsia="宋体" w:cs="宋体"/>
                <w:bCs/>
                <w:color w:val="auto"/>
                <w:kern w:val="0"/>
                <w:sz w:val="24"/>
                <w:highlight w:val="none"/>
                <w:lang w:val="en-US" w:eastAsia="zh-CN" w:bidi="ar-SA"/>
              </w:rPr>
            </w:pPr>
            <w:r>
              <w:rPr>
                <w:rFonts w:hint="eastAsia" w:ascii="宋体" w:hAnsi="宋体" w:cs="宋体"/>
                <w:bCs/>
                <w:color w:val="auto"/>
                <w:kern w:val="0"/>
                <w:sz w:val="24"/>
                <w:highlight w:val="none"/>
                <w:lang w:val="en-US" w:eastAsia="zh-CN"/>
              </w:rPr>
              <w:t>1</w:t>
            </w:r>
          </w:p>
        </w:tc>
        <w:tc>
          <w:tcPr>
            <w:tcW w:w="1398" w:type="dxa"/>
            <w:noWrap w:val="0"/>
            <w:tcMar>
              <w:left w:w="75" w:type="dxa"/>
            </w:tcMar>
            <w:vAlign w:val="center"/>
          </w:tcPr>
          <w:p w14:paraId="71957BCF">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中标候选人排序方法</w:t>
            </w:r>
          </w:p>
        </w:tc>
        <w:tc>
          <w:tcPr>
            <w:tcW w:w="5554" w:type="dxa"/>
            <w:noWrap w:val="0"/>
            <w:tcMar>
              <w:left w:w="75" w:type="dxa"/>
            </w:tcMar>
            <w:vAlign w:val="center"/>
          </w:tcPr>
          <w:p w14:paraId="1FFF68D1">
            <w:pPr>
              <w:widowControl/>
              <w:adjustRightInd w:val="0"/>
              <w:snapToGrid w:val="0"/>
              <w:spacing w:line="360" w:lineRule="auto"/>
              <w:jc w:val="left"/>
              <w:rPr>
                <w:rFonts w:hint="eastAsia" w:ascii="Times New Roman" w:cs="宋体"/>
                <w:color w:val="auto"/>
                <w:szCs w:val="24"/>
                <w:highlight w:val="none"/>
              </w:rPr>
            </w:pPr>
            <w:r>
              <w:rPr>
                <w:rFonts w:hint="eastAsia" w:ascii="Times New Roman" w:cs="宋体"/>
                <w:color w:val="auto"/>
                <w:szCs w:val="24"/>
                <w:highlight w:val="none"/>
                <w:lang w:val="en-US" w:eastAsia="zh-CN"/>
              </w:rPr>
              <w:t>综合</w:t>
            </w:r>
            <w:r>
              <w:rPr>
                <w:rFonts w:hint="eastAsia" w:ascii="Times New Roman" w:cs="宋体"/>
                <w:color w:val="auto"/>
                <w:szCs w:val="24"/>
                <w:highlight w:val="none"/>
              </w:rPr>
              <w:t>得分相等时，评标委员会应按照以下优先顺序确定中标候选人顺序：</w:t>
            </w:r>
          </w:p>
          <w:p w14:paraId="5DF9B92F">
            <w:pPr>
              <w:widowControl/>
              <w:adjustRightInd w:val="0"/>
              <w:snapToGrid w:val="0"/>
              <w:spacing w:line="360" w:lineRule="auto"/>
              <w:jc w:val="left"/>
              <w:rPr>
                <w:rFonts w:hint="eastAsia" w:ascii="Times New Roman" w:cs="宋体"/>
                <w:color w:val="auto"/>
                <w:szCs w:val="24"/>
                <w:highlight w:val="none"/>
              </w:rPr>
            </w:pPr>
            <w:r>
              <w:rPr>
                <w:rFonts w:hint="eastAsia" w:ascii="Times New Roman" w:cs="宋体"/>
                <w:color w:val="auto"/>
                <w:szCs w:val="24"/>
                <w:highlight w:val="none"/>
              </w:rPr>
              <w:t>（1）</w:t>
            </w:r>
            <w:r>
              <w:rPr>
                <w:rFonts w:hint="eastAsia" w:ascii="Times New Roman"/>
                <w:color w:val="auto"/>
                <w:szCs w:val="24"/>
                <w:highlight w:val="none"/>
              </w:rPr>
              <w:t>商务及技术文件得分</w:t>
            </w:r>
            <w:r>
              <w:rPr>
                <w:rFonts w:hint="eastAsia" w:ascii="Times New Roman"/>
                <w:color w:val="auto"/>
                <w:szCs w:val="24"/>
                <w:highlight w:val="none"/>
                <w:lang w:val="en-US" w:eastAsia="zh-CN"/>
              </w:rPr>
              <w:t>高的优先</w:t>
            </w:r>
            <w:r>
              <w:rPr>
                <w:rFonts w:hint="eastAsia" w:ascii="Times New Roman" w:cs="宋体"/>
                <w:color w:val="auto"/>
                <w:szCs w:val="24"/>
                <w:highlight w:val="none"/>
              </w:rPr>
              <w:t>；</w:t>
            </w:r>
          </w:p>
          <w:p w14:paraId="5D8CA093">
            <w:pPr>
              <w:widowControl/>
              <w:adjustRightInd w:val="0"/>
              <w:snapToGrid w:val="0"/>
              <w:spacing w:line="360" w:lineRule="auto"/>
              <w:jc w:val="left"/>
              <w:rPr>
                <w:rFonts w:hint="eastAsia" w:ascii="Times New Roman" w:cs="宋体"/>
                <w:color w:val="auto"/>
                <w:szCs w:val="24"/>
                <w:highlight w:val="none"/>
              </w:rPr>
            </w:pPr>
            <w:r>
              <w:rPr>
                <w:rFonts w:hint="eastAsia" w:ascii="Times New Roman" w:cs="宋体"/>
                <w:color w:val="auto"/>
                <w:szCs w:val="24"/>
                <w:highlight w:val="none"/>
              </w:rPr>
              <w:t>（2）投标报价低的优先；</w:t>
            </w:r>
          </w:p>
          <w:p w14:paraId="4F319FC2">
            <w:pPr>
              <w:widowControl/>
              <w:snapToGrid w:val="0"/>
              <w:spacing w:line="360" w:lineRule="auto"/>
              <w:jc w:val="left"/>
              <w:outlineLvl w:val="9"/>
              <w:rPr>
                <w:rFonts w:hint="eastAsia" w:ascii="宋体" w:hAnsi="宋体" w:eastAsia="宋体" w:cs="宋体"/>
                <w:color w:val="auto"/>
                <w:sz w:val="24"/>
                <w:highlight w:val="none"/>
                <w:lang w:val="en-US" w:eastAsia="zh-CN" w:bidi="ar-SA"/>
              </w:rPr>
            </w:pPr>
            <w:r>
              <w:rPr>
                <w:rFonts w:hint="eastAsia" w:ascii="Times New Roman" w:hAnsi="Times New Roman" w:eastAsia="宋体" w:cs="宋体"/>
                <w:color w:val="auto"/>
                <w:szCs w:val="24"/>
                <w:highlight w:val="none"/>
                <w:lang w:eastAsia="zh-CN"/>
              </w:rPr>
              <w:t>（</w:t>
            </w:r>
            <w:r>
              <w:rPr>
                <w:rFonts w:hint="eastAsia" w:ascii="Times New Roman" w:hAnsi="Times New Roman" w:eastAsia="宋体" w:cs="宋体"/>
                <w:color w:val="auto"/>
                <w:szCs w:val="24"/>
                <w:highlight w:val="none"/>
                <w:lang w:val="en-US" w:eastAsia="zh-CN"/>
              </w:rPr>
              <w:t>3</w:t>
            </w:r>
            <w:r>
              <w:rPr>
                <w:rFonts w:hint="eastAsia" w:ascii="Times New Roman" w:hAnsi="Times New Roman" w:eastAsia="宋体" w:cs="宋体"/>
                <w:color w:val="auto"/>
                <w:szCs w:val="24"/>
                <w:highlight w:val="none"/>
                <w:lang w:eastAsia="zh-CN"/>
              </w:rPr>
              <w:t>）</w:t>
            </w:r>
            <w:r>
              <w:rPr>
                <w:rFonts w:hint="eastAsia" w:ascii="Times New Roman" w:hAnsi="Times New Roman" w:eastAsia="宋体" w:cs="宋体"/>
                <w:color w:val="auto"/>
                <w:szCs w:val="24"/>
                <w:highlight w:val="none"/>
              </w:rPr>
              <w:t>由评标委员会根据投标文件投票，按少数服从多数的原则确定中标候选人顺序。</w:t>
            </w:r>
          </w:p>
        </w:tc>
      </w:tr>
      <w:tr w14:paraId="5092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464" w:type="dxa"/>
            <w:noWrap w:val="0"/>
            <w:vAlign w:val="center"/>
          </w:tcPr>
          <w:p w14:paraId="2DED9059">
            <w:pPr>
              <w:keepNext/>
              <w:keepLines/>
              <w:widowControl/>
              <w:spacing w:before="340" w:after="330" w:line="360" w:lineRule="auto"/>
              <w:jc w:val="center"/>
              <w:outlineLvl w:val="9"/>
              <w:rPr>
                <w:rFonts w:hint="eastAsia" w:ascii="宋体" w:hAnsi="宋体" w:eastAsia="宋体" w:cs="宋体"/>
                <w:bCs/>
                <w:color w:val="auto"/>
                <w:kern w:val="0"/>
                <w:sz w:val="24"/>
                <w:highlight w:val="none"/>
                <w:lang w:val="en-US" w:eastAsia="zh-CN" w:bidi="ar-SA"/>
              </w:rPr>
            </w:pPr>
            <w:r>
              <w:rPr>
                <w:rFonts w:hint="eastAsia" w:ascii="宋体" w:hAnsi="宋体" w:eastAsia="宋体" w:cs="宋体"/>
                <w:color w:val="auto"/>
                <w:sz w:val="24"/>
                <w:szCs w:val="24"/>
                <w:lang w:val="en-US" w:eastAsia="zh-CN"/>
              </w:rPr>
              <w:t>2</w:t>
            </w:r>
          </w:p>
        </w:tc>
        <w:tc>
          <w:tcPr>
            <w:tcW w:w="1398" w:type="dxa"/>
            <w:noWrap w:val="0"/>
            <w:tcMar>
              <w:left w:w="75" w:type="dxa"/>
            </w:tcMar>
            <w:vAlign w:val="center"/>
          </w:tcPr>
          <w:p w14:paraId="695F1BF3">
            <w:pPr>
              <w:widowControl/>
              <w:spacing w:line="360" w:lineRule="auto"/>
              <w:jc w:val="center"/>
              <w:outlineLvl w:val="9"/>
              <w:rPr>
                <w:rFonts w:hint="eastAsia" w:ascii="宋体" w:hAnsi="宋体" w:cs="宋体"/>
                <w:color w:val="auto"/>
                <w:sz w:val="24"/>
                <w:lang w:val="en-US" w:eastAsia="zh-CN" w:bidi="ar-SA"/>
              </w:rPr>
            </w:pPr>
            <w:r>
              <w:rPr>
                <w:rFonts w:ascii="宋体" w:hAnsi="宋体" w:eastAsia="宋体" w:cs="宋体"/>
                <w:color w:val="auto"/>
                <w:sz w:val="24"/>
                <w:szCs w:val="24"/>
              </w:rPr>
              <w:t>初步评审标准</w:t>
            </w:r>
          </w:p>
        </w:tc>
        <w:tc>
          <w:tcPr>
            <w:tcW w:w="5554" w:type="dxa"/>
            <w:noWrap w:val="0"/>
            <w:tcMar>
              <w:left w:w="75" w:type="dxa"/>
            </w:tcMar>
            <w:vAlign w:val="center"/>
          </w:tcPr>
          <w:p w14:paraId="0321784C">
            <w:pPr>
              <w:widowControl/>
              <w:spacing w:line="360" w:lineRule="auto"/>
              <w:jc w:val="left"/>
              <w:outlineLvl w:val="9"/>
              <w:rPr>
                <w:rFonts w:hint="eastAsia" w:ascii="宋体" w:hAnsi="宋体" w:cs="宋体"/>
                <w:color w:val="auto"/>
                <w:sz w:val="24"/>
                <w:u w:val="single"/>
                <w:lang w:val="en-US" w:eastAsia="zh-CN" w:bidi="ar-SA"/>
              </w:rPr>
            </w:pPr>
            <w:r>
              <w:rPr>
                <w:rFonts w:ascii="宋体" w:hAnsi="宋体" w:eastAsia="宋体" w:cs="宋体"/>
                <w:color w:val="auto"/>
                <w:sz w:val="24"/>
                <w:szCs w:val="24"/>
              </w:rPr>
              <w:t>见</w:t>
            </w:r>
            <w:r>
              <w:rPr>
                <w:rFonts w:hint="eastAsia" w:hAnsi="宋体" w:eastAsia="宋体" w:cs="宋体"/>
                <w:color w:val="auto"/>
                <w:sz w:val="24"/>
                <w:szCs w:val="24"/>
                <w:lang w:eastAsia="zh-CN"/>
              </w:rPr>
              <w:t>“商务及技术文件初步评审标准”</w:t>
            </w:r>
            <w:r>
              <w:rPr>
                <w:rFonts w:hint="eastAsia" w:hAnsi="宋体" w:eastAsia="宋体" w:cs="宋体"/>
                <w:color w:val="auto"/>
                <w:sz w:val="24"/>
                <w:szCs w:val="24"/>
                <w:lang w:val="en-US" w:eastAsia="zh-CN"/>
              </w:rPr>
              <w:t>表</w:t>
            </w:r>
            <w:r>
              <w:rPr>
                <w:rFonts w:hint="eastAsia" w:hAnsi="宋体" w:eastAsia="宋体" w:cs="宋体"/>
                <w:color w:val="auto"/>
                <w:sz w:val="24"/>
                <w:szCs w:val="24"/>
                <w:lang w:eastAsia="zh-CN"/>
              </w:rPr>
              <w:t>、“报价文件初步评审标准”</w:t>
            </w:r>
            <w:r>
              <w:rPr>
                <w:rFonts w:hint="eastAsia" w:hAnsi="宋体" w:eastAsia="宋体" w:cs="宋体"/>
                <w:color w:val="auto"/>
                <w:sz w:val="24"/>
                <w:szCs w:val="24"/>
                <w:lang w:val="en-US" w:eastAsia="zh-CN"/>
              </w:rPr>
              <w:t>表。</w:t>
            </w:r>
          </w:p>
        </w:tc>
      </w:tr>
      <w:tr w14:paraId="265C8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464" w:type="dxa"/>
            <w:noWrap w:val="0"/>
            <w:vAlign w:val="center"/>
          </w:tcPr>
          <w:p w14:paraId="0EA9051A">
            <w:pPr>
              <w:snapToGrid w:val="0"/>
              <w:spacing w:line="360" w:lineRule="auto"/>
              <w:jc w:val="center"/>
              <w:outlineLvl w:val="9"/>
              <w:rPr>
                <w:rFonts w:hint="eastAsia" w:ascii="宋体" w:hAnsi="宋体" w:eastAsia="宋体" w:cs="宋体"/>
                <w:bCs/>
                <w:color w:val="auto"/>
                <w:kern w:val="0"/>
                <w:sz w:val="24"/>
                <w:highlight w:val="none"/>
                <w:lang w:eastAsia="zh-CN"/>
              </w:rPr>
            </w:pPr>
            <w:r>
              <w:rPr>
                <w:rFonts w:hint="eastAsia" w:ascii="宋体" w:hAnsi="宋体" w:cs="宋体"/>
                <w:bCs/>
                <w:color w:val="auto"/>
                <w:kern w:val="0"/>
                <w:sz w:val="24"/>
                <w:highlight w:val="none"/>
                <w:lang w:val="en-US" w:eastAsia="zh-CN"/>
              </w:rPr>
              <w:t>3</w:t>
            </w:r>
          </w:p>
        </w:tc>
        <w:tc>
          <w:tcPr>
            <w:tcW w:w="1398" w:type="dxa"/>
            <w:noWrap w:val="0"/>
            <w:tcMar>
              <w:left w:w="75" w:type="dxa"/>
            </w:tcMar>
            <w:vAlign w:val="center"/>
          </w:tcPr>
          <w:p w14:paraId="32AA743F">
            <w:pPr>
              <w:spacing w:line="360" w:lineRule="auto"/>
              <w:jc w:val="center"/>
              <w:outlineLvl w:val="9"/>
              <w:rPr>
                <w:rFonts w:hint="eastAsia" w:ascii="宋体" w:hAnsi="宋体" w:cs="宋体"/>
                <w:color w:val="auto"/>
                <w:sz w:val="24"/>
                <w:highlight w:val="none"/>
              </w:rPr>
            </w:pPr>
            <w:r>
              <w:rPr>
                <w:rFonts w:hint="eastAsia" w:ascii="宋体" w:hAnsi="宋体" w:cs="宋体"/>
                <w:color w:val="auto"/>
                <w:sz w:val="24"/>
                <w:highlight w:val="none"/>
              </w:rPr>
              <w:t>分值构成</w:t>
            </w:r>
          </w:p>
          <w:p w14:paraId="7B120654">
            <w:pPr>
              <w:spacing w:line="360" w:lineRule="auto"/>
              <w:jc w:val="center"/>
              <w:outlineLvl w:val="9"/>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100</w:t>
            </w:r>
            <w:r>
              <w:rPr>
                <w:rFonts w:hint="eastAsia" w:ascii="宋体" w:hAnsi="宋体" w:cs="宋体"/>
                <w:color w:val="auto"/>
                <w:sz w:val="24"/>
                <w:highlight w:val="none"/>
              </w:rPr>
              <w:t>分）</w:t>
            </w:r>
          </w:p>
        </w:tc>
        <w:tc>
          <w:tcPr>
            <w:tcW w:w="5554" w:type="dxa"/>
            <w:noWrap w:val="0"/>
            <w:tcMar>
              <w:left w:w="75" w:type="dxa"/>
            </w:tcMar>
            <w:vAlign w:val="center"/>
          </w:tcPr>
          <w:p w14:paraId="1E5BA726">
            <w:pPr>
              <w:widowControl/>
              <w:spacing w:line="360" w:lineRule="auto"/>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文件：</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u w:val="single"/>
              </w:rPr>
              <w:t>分</w:t>
            </w:r>
          </w:p>
          <w:p w14:paraId="7E74EEA9">
            <w:pPr>
              <w:widowControl/>
              <w:spacing w:line="360" w:lineRule="auto"/>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商务</w:t>
            </w:r>
            <w:r>
              <w:rPr>
                <w:rFonts w:hint="eastAsia" w:ascii="宋体" w:hAnsi="宋体" w:eastAsia="宋体" w:cs="宋体"/>
                <w:color w:val="auto"/>
                <w:sz w:val="24"/>
                <w:szCs w:val="24"/>
              </w:rPr>
              <w:t>文件：</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u w:val="single"/>
              </w:rPr>
              <w:t>分</w:t>
            </w:r>
          </w:p>
          <w:p w14:paraId="70CFB5A5">
            <w:pPr>
              <w:widowControl/>
              <w:spacing w:line="360" w:lineRule="auto"/>
              <w:jc w:val="left"/>
              <w:outlineLvl w:val="9"/>
              <w:rPr>
                <w:rFonts w:hint="eastAsia" w:ascii="宋体" w:hAnsi="宋体" w:cs="宋体"/>
                <w:color w:val="auto"/>
                <w:sz w:val="24"/>
                <w:highlight w:val="none"/>
              </w:rPr>
            </w:pPr>
            <w:r>
              <w:rPr>
                <w:rFonts w:hint="eastAsia" w:ascii="宋体" w:hAnsi="宋体" w:eastAsia="宋体" w:cs="宋体"/>
                <w:color w:val="auto"/>
                <w:sz w:val="24"/>
                <w:szCs w:val="24"/>
                <w:lang w:eastAsia="zh-CN"/>
              </w:rPr>
              <w:t>报价文件</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40</w:t>
            </w:r>
            <w:r>
              <w:rPr>
                <w:rFonts w:hint="eastAsia" w:ascii="宋体" w:hAnsi="宋体" w:eastAsia="宋体" w:cs="宋体"/>
                <w:color w:val="auto"/>
                <w:sz w:val="24"/>
                <w:szCs w:val="24"/>
                <w:u w:val="single"/>
              </w:rPr>
              <w:t>分</w:t>
            </w:r>
          </w:p>
        </w:tc>
      </w:tr>
      <w:tr w14:paraId="3F223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6" w:hRule="atLeast"/>
        </w:trPr>
        <w:tc>
          <w:tcPr>
            <w:tcW w:w="1464" w:type="dxa"/>
            <w:noWrap w:val="0"/>
            <w:vAlign w:val="center"/>
          </w:tcPr>
          <w:p w14:paraId="05A817A6">
            <w:pPr>
              <w:keepNext/>
              <w:keepLines/>
              <w:widowControl/>
              <w:spacing w:before="340" w:after="330" w:line="360" w:lineRule="auto"/>
              <w:jc w:val="center"/>
              <w:outlineLvl w:val="9"/>
              <w:rPr>
                <w:rFonts w:hint="eastAsia" w:ascii="宋体" w:hAnsi="宋体" w:eastAsia="宋体" w:cs="宋体"/>
                <w:bCs/>
                <w:color w:val="auto"/>
                <w:kern w:val="0"/>
                <w:sz w:val="24"/>
                <w:highlight w:val="none"/>
                <w:lang w:val="en-US" w:eastAsia="zh-CN" w:bidi="ar-SA"/>
              </w:rPr>
            </w:pPr>
            <w:r>
              <w:rPr>
                <w:rFonts w:hint="eastAsia" w:ascii="宋体" w:hAnsi="宋体" w:eastAsia="宋体" w:cs="宋体"/>
                <w:color w:val="auto"/>
                <w:sz w:val="24"/>
                <w:szCs w:val="24"/>
                <w:lang w:val="en-US" w:eastAsia="zh-CN"/>
              </w:rPr>
              <w:t>4</w:t>
            </w:r>
          </w:p>
        </w:tc>
        <w:tc>
          <w:tcPr>
            <w:tcW w:w="1398" w:type="dxa"/>
            <w:noWrap w:val="0"/>
            <w:tcMar>
              <w:left w:w="75" w:type="dxa"/>
            </w:tcMar>
            <w:vAlign w:val="center"/>
          </w:tcPr>
          <w:p w14:paraId="32B061CF">
            <w:pPr>
              <w:widowControl/>
              <w:spacing w:line="360" w:lineRule="auto"/>
              <w:jc w:val="center"/>
              <w:outlineLvl w:val="9"/>
              <w:rPr>
                <w:rFonts w:hint="eastAsia" w:ascii="宋体" w:hAnsi="宋体" w:cs="宋体"/>
                <w:color w:val="auto"/>
                <w:sz w:val="24"/>
                <w:lang w:val="en-US" w:eastAsia="zh-CN" w:bidi="ar-SA"/>
              </w:rPr>
            </w:pPr>
            <w:r>
              <w:rPr>
                <w:rFonts w:hint="eastAsia" w:ascii="宋体" w:hAnsi="宋体" w:eastAsia="宋体" w:cs="宋体"/>
                <w:color w:val="auto"/>
                <w:sz w:val="24"/>
                <w:szCs w:val="24"/>
                <w:lang w:val="en-US" w:eastAsia="zh-CN"/>
              </w:rPr>
              <w:t>评分</w:t>
            </w:r>
            <w:r>
              <w:rPr>
                <w:rFonts w:ascii="宋体" w:hAnsi="宋体" w:eastAsia="宋体" w:cs="宋体"/>
                <w:color w:val="auto"/>
                <w:sz w:val="24"/>
                <w:szCs w:val="24"/>
              </w:rPr>
              <w:t>标准</w:t>
            </w:r>
          </w:p>
        </w:tc>
        <w:tc>
          <w:tcPr>
            <w:tcW w:w="5554" w:type="dxa"/>
            <w:noWrap w:val="0"/>
            <w:tcMar>
              <w:left w:w="75" w:type="dxa"/>
            </w:tcMar>
            <w:vAlign w:val="center"/>
          </w:tcPr>
          <w:p w14:paraId="5FEC11E7">
            <w:pPr>
              <w:widowControl/>
              <w:spacing w:line="360" w:lineRule="auto"/>
              <w:jc w:val="left"/>
              <w:outlineLvl w:val="9"/>
              <w:rPr>
                <w:rFonts w:hint="eastAsia" w:ascii="宋体" w:hAnsi="宋体" w:cs="宋体"/>
                <w:color w:val="auto"/>
                <w:sz w:val="24"/>
                <w:u w:val="single"/>
                <w:lang w:val="en-US" w:eastAsia="zh-CN" w:bidi="ar-SA"/>
              </w:rPr>
            </w:pPr>
            <w:r>
              <w:rPr>
                <w:rFonts w:ascii="宋体" w:hAnsi="宋体" w:eastAsia="宋体" w:cs="宋体"/>
                <w:color w:val="auto"/>
                <w:sz w:val="24"/>
                <w:szCs w:val="24"/>
              </w:rPr>
              <w:t>见</w:t>
            </w:r>
            <w:r>
              <w:rPr>
                <w:rFonts w:hint="eastAsia" w:hAnsi="宋体" w:eastAsia="宋体" w:cs="宋体"/>
                <w:color w:val="auto"/>
                <w:sz w:val="24"/>
                <w:szCs w:val="24"/>
                <w:lang w:eastAsia="zh-CN"/>
              </w:rPr>
              <w:t>“商务、技术及报价文件详细评审标准”</w:t>
            </w:r>
            <w:r>
              <w:rPr>
                <w:rFonts w:hint="eastAsia" w:hAnsi="宋体" w:eastAsia="宋体" w:cs="宋体"/>
                <w:color w:val="auto"/>
                <w:sz w:val="24"/>
                <w:szCs w:val="24"/>
                <w:lang w:val="en-US" w:eastAsia="zh-CN"/>
              </w:rPr>
              <w:t>表。</w:t>
            </w:r>
          </w:p>
        </w:tc>
      </w:tr>
    </w:tbl>
    <w:p w14:paraId="6C3977C6">
      <w:pPr>
        <w:spacing w:before="240" w:beforeLines="100" w:after="240" w:afterLines="100"/>
        <w:jc w:val="center"/>
        <w:outlineLvl w:val="1"/>
        <w:rPr>
          <w:rFonts w:hint="eastAsia" w:eastAsia="黑体" w:cs="宋体"/>
          <w:color w:val="auto"/>
          <w:sz w:val="32"/>
          <w:szCs w:val="32"/>
          <w:highlight w:val="none"/>
        </w:rPr>
      </w:pPr>
      <w:bookmarkStart w:id="5" w:name="_Toc16481"/>
      <w:bookmarkStart w:id="6" w:name="_Toc8614"/>
    </w:p>
    <w:p w14:paraId="53237AE1">
      <w:pPr>
        <w:spacing w:before="240" w:beforeLines="100" w:after="240" w:afterLines="100"/>
        <w:jc w:val="center"/>
        <w:outlineLvl w:val="1"/>
        <w:rPr>
          <w:rFonts w:hint="eastAsia" w:eastAsia="黑体" w:cs="宋体"/>
          <w:color w:val="auto"/>
          <w:sz w:val="32"/>
          <w:szCs w:val="32"/>
          <w:highlight w:val="none"/>
        </w:rPr>
      </w:pPr>
    </w:p>
    <w:p w14:paraId="2F753722">
      <w:pPr>
        <w:spacing w:before="240" w:beforeLines="100" w:after="240" w:afterLines="100"/>
        <w:jc w:val="center"/>
        <w:outlineLvl w:val="1"/>
        <w:rPr>
          <w:rFonts w:hint="eastAsia" w:eastAsia="黑体" w:cs="宋体"/>
          <w:color w:val="auto"/>
          <w:sz w:val="32"/>
          <w:szCs w:val="32"/>
          <w:highlight w:val="none"/>
        </w:rPr>
      </w:pPr>
    </w:p>
    <w:p w14:paraId="4EC5E96D">
      <w:pPr>
        <w:spacing w:before="240" w:beforeLines="100" w:after="240" w:afterLines="100"/>
        <w:jc w:val="both"/>
        <w:outlineLvl w:val="1"/>
        <w:rPr>
          <w:rFonts w:hint="eastAsia" w:eastAsia="黑体" w:cs="宋体"/>
          <w:color w:val="auto"/>
          <w:sz w:val="32"/>
          <w:szCs w:val="32"/>
          <w:highlight w:val="none"/>
        </w:rPr>
      </w:pPr>
    </w:p>
    <w:bookmarkEnd w:id="5"/>
    <w:bookmarkEnd w:id="6"/>
    <w:p w14:paraId="6287B30B">
      <w:pPr>
        <w:spacing w:before="240" w:beforeLines="100" w:after="240" w:afterLines="100"/>
        <w:jc w:val="center"/>
        <w:outlineLvl w:val="1"/>
        <w:rPr>
          <w:rFonts w:hint="eastAsia" w:ascii="Times New Roman" w:eastAsia="黑体"/>
          <w:color w:val="auto"/>
          <w:sz w:val="32"/>
          <w:szCs w:val="32"/>
          <w:highlight w:val="none"/>
        </w:rPr>
      </w:pPr>
      <w:bookmarkStart w:id="7" w:name="_Toc32506"/>
      <w:bookmarkStart w:id="8" w:name="_Toc9005"/>
      <w:r>
        <w:rPr>
          <w:rFonts w:hint="eastAsia" w:eastAsia="黑体" w:cs="宋体"/>
          <w:color w:val="auto"/>
          <w:sz w:val="32"/>
          <w:szCs w:val="32"/>
          <w:highlight w:val="none"/>
          <w:lang w:val="en-US" w:eastAsia="zh-CN"/>
        </w:rPr>
        <w:t xml:space="preserve"> </w:t>
      </w:r>
      <w:r>
        <w:rPr>
          <w:rFonts w:hint="eastAsia" w:eastAsia="黑体" w:cs="宋体"/>
          <w:color w:val="auto"/>
          <w:sz w:val="32"/>
          <w:szCs w:val="32"/>
          <w:highlight w:val="none"/>
        </w:rPr>
        <w:t>商务</w:t>
      </w:r>
      <w:r>
        <w:rPr>
          <w:rFonts w:hint="eastAsia" w:eastAsia="黑体" w:cs="宋体"/>
          <w:color w:val="auto"/>
          <w:sz w:val="32"/>
          <w:szCs w:val="32"/>
          <w:highlight w:val="none"/>
          <w:lang w:eastAsia="zh-CN"/>
        </w:rPr>
        <w:t>、</w:t>
      </w:r>
      <w:r>
        <w:rPr>
          <w:rFonts w:hint="eastAsia" w:eastAsia="黑体" w:cs="宋体"/>
          <w:color w:val="auto"/>
          <w:sz w:val="32"/>
          <w:szCs w:val="32"/>
          <w:highlight w:val="none"/>
        </w:rPr>
        <w:t>技术</w:t>
      </w:r>
      <w:r>
        <w:rPr>
          <w:rFonts w:hint="eastAsia" w:eastAsia="黑体" w:cs="宋体"/>
          <w:color w:val="auto"/>
          <w:sz w:val="32"/>
          <w:szCs w:val="32"/>
          <w:highlight w:val="none"/>
          <w:lang w:eastAsia="zh-CN"/>
        </w:rPr>
        <w:t>及</w:t>
      </w:r>
      <w:r>
        <w:rPr>
          <w:rFonts w:hint="eastAsia" w:eastAsia="黑体" w:cs="宋体"/>
          <w:color w:val="auto"/>
          <w:sz w:val="32"/>
          <w:szCs w:val="32"/>
          <w:highlight w:val="none"/>
        </w:rPr>
        <w:t>报价文件详细评审标准</w:t>
      </w:r>
      <w:bookmarkEnd w:id="7"/>
      <w:bookmarkEnd w:id="8"/>
    </w:p>
    <w:tbl>
      <w:tblPr>
        <w:tblStyle w:val="14"/>
        <w:tblW w:w="5494" w:type="pct"/>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2"/>
        <w:gridCol w:w="800"/>
        <w:gridCol w:w="1000"/>
        <w:gridCol w:w="692"/>
        <w:gridCol w:w="5844"/>
      </w:tblGrid>
      <w:tr w14:paraId="2DCB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600" w:type="dxa"/>
            <w:gridSpan w:val="2"/>
            <w:noWrap w:val="0"/>
            <w:vAlign w:val="center"/>
          </w:tcPr>
          <w:p w14:paraId="72127ABE">
            <w:pPr>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b/>
                <w:bCs/>
                <w:color w:val="auto"/>
                <w:kern w:val="0"/>
                <w:sz w:val="24"/>
                <w:highlight w:val="none"/>
              </w:rPr>
            </w:pPr>
            <w:r>
              <w:rPr>
                <w:rFonts w:hint="eastAsia" w:eastAsia="黑体" w:cs="宋体"/>
                <w:color w:val="auto"/>
                <w:sz w:val="32"/>
                <w:szCs w:val="32"/>
                <w:highlight w:val="none"/>
                <w:lang w:val="en-US" w:eastAsia="zh-CN"/>
              </w:rPr>
              <w:t xml:space="preserve"> </w:t>
            </w:r>
            <w:r>
              <w:rPr>
                <w:rFonts w:hint="eastAsia" w:ascii="宋体" w:hAnsi="宋体" w:cs="宋体"/>
                <w:b/>
                <w:bCs/>
                <w:color w:val="auto"/>
                <w:kern w:val="0"/>
                <w:sz w:val="24"/>
                <w:highlight w:val="none"/>
              </w:rPr>
              <w:t>条款号</w:t>
            </w:r>
          </w:p>
        </w:tc>
        <w:tc>
          <w:tcPr>
            <w:tcW w:w="999" w:type="dxa"/>
            <w:noWrap w:val="0"/>
            <w:tcMar>
              <w:left w:w="75" w:type="dxa"/>
            </w:tcMar>
            <w:vAlign w:val="center"/>
          </w:tcPr>
          <w:p w14:paraId="7D229272">
            <w:pPr>
              <w:spacing w:line="600" w:lineRule="exact"/>
              <w:jc w:val="center"/>
              <w:rPr>
                <w:rFonts w:hint="eastAsia" w:ascii="宋体" w:hAnsi="宋体" w:cs="宋体"/>
                <w:b/>
                <w:bCs/>
                <w:color w:val="auto"/>
                <w:kern w:val="0"/>
                <w:sz w:val="24"/>
                <w:highlight w:val="none"/>
              </w:rPr>
            </w:pPr>
            <w:r>
              <w:rPr>
                <w:rFonts w:hint="eastAsia" w:hAnsi="宋体" w:cs="宋体"/>
                <w:b/>
                <w:bCs/>
                <w:color w:val="auto"/>
                <w:lang w:eastAsia="zh-CN"/>
              </w:rPr>
              <w:t>评审</w:t>
            </w:r>
            <w:r>
              <w:rPr>
                <w:rFonts w:hint="eastAsia" w:hAnsi="宋体" w:cs="宋体"/>
                <w:b/>
                <w:bCs/>
                <w:color w:val="auto"/>
              </w:rPr>
              <w:t>因素</w:t>
            </w:r>
          </w:p>
        </w:tc>
        <w:tc>
          <w:tcPr>
            <w:tcW w:w="691" w:type="dxa"/>
            <w:noWrap w:val="0"/>
            <w:vAlign w:val="center"/>
          </w:tcPr>
          <w:p w14:paraId="12F9CDA8">
            <w:pPr>
              <w:spacing w:line="600" w:lineRule="exact"/>
              <w:jc w:val="center"/>
              <w:rPr>
                <w:rFonts w:hint="eastAsia" w:ascii="宋体" w:hAnsi="宋体" w:cs="宋体"/>
                <w:b/>
                <w:bCs/>
                <w:color w:val="auto"/>
                <w:kern w:val="0"/>
                <w:sz w:val="24"/>
                <w:highlight w:val="none"/>
              </w:rPr>
            </w:pPr>
            <w:r>
              <w:rPr>
                <w:rFonts w:hint="eastAsia" w:hAnsi="宋体" w:cs="宋体"/>
                <w:b/>
                <w:bCs/>
                <w:color w:val="auto"/>
              </w:rPr>
              <w:t>分值</w:t>
            </w:r>
          </w:p>
        </w:tc>
        <w:tc>
          <w:tcPr>
            <w:tcW w:w="5838" w:type="dxa"/>
            <w:noWrap w:val="0"/>
            <w:vAlign w:val="center"/>
          </w:tcPr>
          <w:p w14:paraId="5E0B7E9A">
            <w:pPr>
              <w:spacing w:line="600" w:lineRule="exact"/>
              <w:jc w:val="center"/>
              <w:rPr>
                <w:rFonts w:hint="eastAsia" w:ascii="宋体" w:hAnsi="宋体" w:cs="宋体"/>
                <w:b/>
                <w:bCs/>
                <w:color w:val="auto"/>
                <w:kern w:val="0"/>
                <w:sz w:val="24"/>
                <w:highlight w:val="none"/>
              </w:rPr>
            </w:pPr>
            <w:r>
              <w:rPr>
                <w:rFonts w:hint="eastAsia" w:hAnsi="宋体" w:cs="宋体"/>
                <w:b/>
                <w:bCs/>
                <w:color w:val="auto"/>
                <w:lang w:eastAsia="zh-CN"/>
              </w:rPr>
              <w:t>评审</w:t>
            </w:r>
            <w:r>
              <w:rPr>
                <w:rFonts w:hint="eastAsia" w:hAnsi="宋体" w:cs="宋体"/>
                <w:b/>
                <w:bCs/>
                <w:color w:val="auto"/>
              </w:rPr>
              <w:t>标准</w:t>
            </w:r>
          </w:p>
        </w:tc>
      </w:tr>
      <w:tr w14:paraId="4239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9" w:hRule="atLeast"/>
        </w:trPr>
        <w:tc>
          <w:tcPr>
            <w:tcW w:w="801" w:type="dxa"/>
            <w:noWrap w:val="0"/>
            <w:vAlign w:val="center"/>
          </w:tcPr>
          <w:p w14:paraId="65983ABA">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2.2.2（1）</w:t>
            </w:r>
          </w:p>
        </w:tc>
        <w:tc>
          <w:tcPr>
            <w:tcW w:w="799" w:type="dxa"/>
            <w:noWrap w:val="0"/>
            <w:vAlign w:val="center"/>
          </w:tcPr>
          <w:p w14:paraId="50861E79">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技术</w:t>
            </w:r>
            <w:r>
              <w:rPr>
                <w:rFonts w:hint="eastAsia" w:ascii="宋体" w:hAnsi="宋体" w:cs="宋体"/>
                <w:color w:val="auto"/>
                <w:sz w:val="24"/>
                <w:highlight w:val="none"/>
              </w:rPr>
              <w:t>文件评分标准</w:t>
            </w:r>
          </w:p>
        </w:tc>
        <w:tc>
          <w:tcPr>
            <w:tcW w:w="999" w:type="dxa"/>
            <w:noWrap w:val="0"/>
            <w:tcMar>
              <w:left w:w="75" w:type="dxa"/>
            </w:tcMar>
            <w:vAlign w:val="center"/>
          </w:tcPr>
          <w:p w14:paraId="0F04A7D9">
            <w:pPr>
              <w:widowControl/>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施工方案</w:t>
            </w:r>
          </w:p>
          <w:p w14:paraId="46C53CAE">
            <w:pPr>
              <w:widowControl/>
              <w:spacing w:line="360" w:lineRule="auto"/>
              <w:jc w:val="center"/>
              <w:rPr>
                <w:rFonts w:hint="default" w:ascii="宋体" w:hAnsi="宋体" w:eastAsia="宋体" w:cs="宋体"/>
                <w:color w:val="auto"/>
                <w:sz w:val="24"/>
                <w:highlight w:val="none"/>
                <w:lang w:val="en-US" w:eastAsia="zh-CN"/>
              </w:rPr>
            </w:pPr>
          </w:p>
        </w:tc>
        <w:tc>
          <w:tcPr>
            <w:tcW w:w="691" w:type="dxa"/>
            <w:noWrap w:val="0"/>
            <w:vAlign w:val="center"/>
          </w:tcPr>
          <w:p w14:paraId="1B07324D">
            <w:pPr>
              <w:widowControl/>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30</w:t>
            </w:r>
            <w:r>
              <w:rPr>
                <w:rFonts w:hint="eastAsia" w:ascii="宋体" w:hAnsi="宋体" w:eastAsia="宋体" w:cs="宋体"/>
                <w:color w:val="auto"/>
                <w:kern w:val="0"/>
                <w:sz w:val="24"/>
                <w:highlight w:val="none"/>
              </w:rPr>
              <w:t>分</w:t>
            </w:r>
          </w:p>
        </w:tc>
        <w:tc>
          <w:tcPr>
            <w:tcW w:w="5838" w:type="dxa"/>
            <w:noWrap w:val="0"/>
            <w:vAlign w:val="center"/>
          </w:tcPr>
          <w:p w14:paraId="3306D6E9">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1.内容完整性和编制水平：依据</w:t>
            </w:r>
            <w:r>
              <w:rPr>
                <w:rFonts w:hint="eastAsia" w:ascii="宋体" w:hAnsi="宋体" w:eastAsia="宋体" w:cs="宋体"/>
                <w:color w:val="auto"/>
                <w:sz w:val="24"/>
                <w:highlight w:val="none"/>
                <w:lang w:val="en-US" w:eastAsia="zh-CN"/>
              </w:rPr>
              <w:t>投标人供</w:t>
            </w:r>
            <w:r>
              <w:rPr>
                <w:rFonts w:hint="eastAsia" w:ascii="宋体" w:hAnsi="宋体" w:eastAsia="宋体" w:cs="宋体"/>
                <w:color w:val="auto"/>
                <w:sz w:val="24"/>
                <w:highlight w:val="none"/>
              </w:rPr>
              <w:t>货安装方案内容的完整性及编制水平由</w:t>
            </w:r>
            <w:r>
              <w:rPr>
                <w:rFonts w:hint="eastAsia" w:ascii="宋体" w:hAnsi="宋体" w:eastAsia="宋体" w:cs="宋体"/>
                <w:color w:val="auto"/>
                <w:sz w:val="24"/>
                <w:highlight w:val="none"/>
                <w:lang w:val="en-US" w:eastAsia="zh-CN"/>
              </w:rPr>
              <w:t>评委</w:t>
            </w:r>
            <w:r>
              <w:rPr>
                <w:rFonts w:hint="eastAsia" w:ascii="宋体" w:hAnsi="宋体" w:eastAsia="宋体" w:cs="宋体"/>
                <w:color w:val="auto"/>
                <w:sz w:val="24"/>
                <w:highlight w:val="none"/>
              </w:rPr>
              <w:t>进行综合评分。</w:t>
            </w:r>
          </w:p>
          <w:p w14:paraId="771BAC98">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2施工工艺与技术措施：依据投标施工方案</w:t>
            </w:r>
            <w:r>
              <w:rPr>
                <w:rFonts w:hint="eastAsia" w:ascii="宋体" w:hAnsi="宋体" w:eastAsia="宋体" w:cs="宋体"/>
                <w:color w:val="auto"/>
                <w:sz w:val="24"/>
                <w:highlight w:val="none"/>
              </w:rPr>
              <w:t>中针对本</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提出的主要技术措施由评委进行综合评分。</w:t>
            </w:r>
          </w:p>
          <w:p w14:paraId="4C734957">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依据投标人施工方案</w:t>
            </w:r>
            <w:r>
              <w:rPr>
                <w:rFonts w:hint="eastAsia" w:ascii="宋体" w:hAnsi="宋体" w:eastAsia="宋体" w:cs="宋体"/>
                <w:color w:val="auto"/>
                <w:sz w:val="24"/>
                <w:highlight w:val="none"/>
              </w:rPr>
              <w:t>中主要物资，机器械设备、劳动力计划由</w:t>
            </w:r>
            <w:r>
              <w:rPr>
                <w:rFonts w:hint="eastAsia" w:ascii="宋体" w:hAnsi="宋体" w:eastAsia="宋体" w:cs="宋体"/>
                <w:color w:val="auto"/>
                <w:sz w:val="24"/>
                <w:highlight w:val="none"/>
                <w:lang w:val="en-US" w:eastAsia="zh-CN"/>
              </w:rPr>
              <w:t>评委</w:t>
            </w:r>
            <w:r>
              <w:rPr>
                <w:rFonts w:hint="eastAsia" w:ascii="宋体" w:hAnsi="宋体" w:eastAsia="宋体" w:cs="宋体"/>
                <w:color w:val="auto"/>
                <w:sz w:val="24"/>
                <w:highlight w:val="none"/>
              </w:rPr>
              <w:t>进行综合评分。</w:t>
            </w:r>
          </w:p>
          <w:p w14:paraId="4E8345A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优秀的，得</w:t>
            </w: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＜F≤</w:t>
            </w:r>
            <w:r>
              <w:rPr>
                <w:rFonts w:hint="eastAsia" w:ascii="宋体" w:hAnsi="宋体" w:eastAsia="宋体" w:cs="宋体"/>
                <w:color w:val="auto"/>
                <w:kern w:val="0"/>
                <w:sz w:val="24"/>
                <w:szCs w:val="24"/>
                <w:highlight w:val="none"/>
                <w:lang w:val="en-US" w:eastAsia="zh-CN"/>
              </w:rPr>
              <w:t>30</w:t>
            </w:r>
            <w:r>
              <w:rPr>
                <w:rFonts w:hint="eastAsia" w:ascii="宋体" w:hAnsi="宋体" w:eastAsia="宋体" w:cs="宋体"/>
                <w:color w:val="auto"/>
                <w:kern w:val="0"/>
                <w:sz w:val="24"/>
                <w:szCs w:val="24"/>
                <w:highlight w:val="none"/>
              </w:rPr>
              <w:t>分；</w:t>
            </w:r>
          </w:p>
          <w:p w14:paraId="5F8B366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良好的，得</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＜F≤</w:t>
            </w: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分；</w:t>
            </w:r>
          </w:p>
          <w:p w14:paraId="6A3FD84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一般的，得 0＜F≤</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未提供的不得分。</w:t>
            </w:r>
          </w:p>
          <w:p w14:paraId="7E730862">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b/>
                <w:bCs/>
                <w:color w:val="auto"/>
                <w:kern w:val="0"/>
                <w:sz w:val="24"/>
                <w:szCs w:val="24"/>
                <w:highlight w:val="none"/>
                <w:lang w:val="en-US" w:eastAsia="zh-CN"/>
              </w:rPr>
              <w:t>注：“F”为投标人本项得分。</w:t>
            </w:r>
          </w:p>
        </w:tc>
      </w:tr>
      <w:tr w14:paraId="7B269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2" w:hRule="atLeast"/>
        </w:trPr>
        <w:tc>
          <w:tcPr>
            <w:tcW w:w="801" w:type="dxa"/>
            <w:vMerge w:val="restart"/>
            <w:noWrap w:val="0"/>
            <w:vAlign w:val="center"/>
          </w:tcPr>
          <w:p w14:paraId="116E4B71">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2.2.2（2）</w:t>
            </w:r>
          </w:p>
        </w:tc>
        <w:tc>
          <w:tcPr>
            <w:tcW w:w="799" w:type="dxa"/>
            <w:vMerge w:val="restart"/>
            <w:noWrap w:val="0"/>
            <w:vAlign w:val="center"/>
          </w:tcPr>
          <w:p w14:paraId="56AFB983">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商务</w:t>
            </w:r>
            <w:r>
              <w:rPr>
                <w:rFonts w:hint="eastAsia" w:ascii="宋体" w:hAnsi="宋体" w:cs="宋体"/>
                <w:color w:val="auto"/>
                <w:sz w:val="24"/>
                <w:highlight w:val="none"/>
              </w:rPr>
              <w:t>文件评分标准</w:t>
            </w:r>
          </w:p>
        </w:tc>
        <w:tc>
          <w:tcPr>
            <w:tcW w:w="999" w:type="dxa"/>
            <w:noWrap w:val="0"/>
            <w:tcMar>
              <w:left w:w="75" w:type="dxa"/>
            </w:tcMar>
            <w:vAlign w:val="top"/>
          </w:tcPr>
          <w:p w14:paraId="19DECB19">
            <w:pPr>
              <w:spacing w:line="360" w:lineRule="auto"/>
              <w:jc w:val="center"/>
              <w:rPr>
                <w:rFonts w:hint="eastAsia" w:ascii="宋体" w:hAnsi="宋体" w:cs="宋体"/>
                <w:color w:val="auto"/>
                <w:sz w:val="24"/>
                <w:highlight w:val="none"/>
              </w:rPr>
            </w:pPr>
          </w:p>
          <w:p w14:paraId="14633227">
            <w:pPr>
              <w:spacing w:line="360" w:lineRule="auto"/>
              <w:jc w:val="center"/>
              <w:rPr>
                <w:rFonts w:hint="eastAsia" w:ascii="宋体" w:hAnsi="宋体" w:cs="宋体"/>
                <w:color w:val="auto"/>
                <w:sz w:val="24"/>
                <w:highlight w:val="none"/>
              </w:rPr>
            </w:pPr>
          </w:p>
          <w:p w14:paraId="4C8E9130">
            <w:pPr>
              <w:spacing w:line="360" w:lineRule="auto"/>
              <w:jc w:val="both"/>
              <w:rPr>
                <w:rFonts w:hint="eastAsia" w:ascii="宋体" w:hAnsi="宋体" w:cs="宋体"/>
                <w:color w:val="auto"/>
                <w:sz w:val="24"/>
                <w:highlight w:val="none"/>
              </w:rPr>
            </w:pPr>
            <w:r>
              <w:rPr>
                <w:rFonts w:hint="eastAsia" w:ascii="宋体" w:hAnsi="宋体" w:cs="宋体"/>
                <w:color w:val="auto"/>
                <w:sz w:val="24"/>
                <w:highlight w:val="none"/>
              </w:rPr>
              <w:t>投标人资信认证</w:t>
            </w:r>
          </w:p>
        </w:tc>
        <w:tc>
          <w:tcPr>
            <w:tcW w:w="691" w:type="dxa"/>
            <w:noWrap w:val="0"/>
            <w:vAlign w:val="center"/>
          </w:tcPr>
          <w:p w14:paraId="4BC27C2E">
            <w:pPr>
              <w:widowControl/>
              <w:snapToGrid w:val="0"/>
              <w:spacing w:line="360" w:lineRule="auto"/>
              <w:jc w:val="both"/>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20</w:t>
            </w:r>
            <w:r>
              <w:rPr>
                <w:rFonts w:hint="eastAsia" w:ascii="宋体" w:hAnsi="宋体" w:cs="宋体"/>
                <w:color w:val="auto"/>
                <w:kern w:val="0"/>
                <w:sz w:val="24"/>
                <w:highlight w:val="none"/>
              </w:rPr>
              <w:t>分</w:t>
            </w:r>
          </w:p>
        </w:tc>
        <w:tc>
          <w:tcPr>
            <w:tcW w:w="5838" w:type="dxa"/>
            <w:noWrap w:val="0"/>
            <w:vAlign w:val="center"/>
          </w:tcPr>
          <w:p w14:paraId="20128E69">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投标人具有下列证书之一的，每项得</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w:t>
            </w:r>
          </w:p>
          <w:p w14:paraId="73D76229">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本项满分 </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 xml:space="preserve"> 分：</w:t>
            </w:r>
          </w:p>
          <w:p w14:paraId="3D1B16BE">
            <w:pPr>
              <w:snapToGrid w:val="0"/>
              <w:spacing w:line="360" w:lineRule="auto"/>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AAA级信用企业</w:t>
            </w:r>
            <w:r>
              <w:rPr>
                <w:rFonts w:hint="eastAsia" w:ascii="宋体" w:hAnsi="宋体" w:cs="宋体"/>
                <w:color w:val="auto"/>
                <w:sz w:val="24"/>
                <w:highlight w:val="none"/>
              </w:rPr>
              <w:t>证书</w:t>
            </w:r>
            <w:r>
              <w:rPr>
                <w:rFonts w:hint="eastAsia" w:ascii="宋体" w:hAnsi="宋体" w:cs="宋体"/>
                <w:color w:val="auto"/>
                <w:sz w:val="24"/>
                <w:highlight w:val="none"/>
                <w:lang w:eastAsia="zh-CN"/>
              </w:rPr>
              <w:t>；</w:t>
            </w:r>
          </w:p>
          <w:p w14:paraId="6B92D14B">
            <w:pPr>
              <w:snapToGrid w:val="0"/>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rPr>
              <w:t>(2)ISO</w:t>
            </w:r>
            <w:r>
              <w:rPr>
                <w:rFonts w:hint="eastAsia" w:ascii="宋体" w:hAnsi="宋体" w:cs="宋体"/>
                <w:color w:val="auto"/>
                <w:sz w:val="24"/>
                <w:highlight w:val="none"/>
                <w:lang w:val="en-US" w:eastAsia="zh-CN"/>
              </w:rPr>
              <w:t>三体系认证证书；</w:t>
            </w:r>
          </w:p>
          <w:p w14:paraId="12A7C6B4">
            <w:pPr>
              <w:snapToGrid w:val="0"/>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防火封堵相关发明专利证书。</w:t>
            </w:r>
          </w:p>
          <w:p w14:paraId="6B980FBB">
            <w:pPr>
              <w:snapToGrid w:val="0"/>
              <w:spacing w:line="360" w:lineRule="auto"/>
              <w:jc w:val="left"/>
              <w:rPr>
                <w:rFonts w:hint="eastAsia" w:ascii="宋体" w:hAnsi="宋体" w:eastAsia="宋体" w:cs="宋体"/>
                <w:color w:val="auto"/>
                <w:sz w:val="24"/>
                <w:highlight w:val="none"/>
                <w:lang w:eastAsia="zh-CN"/>
              </w:rPr>
            </w:pPr>
            <w:r>
              <w:rPr>
                <w:rFonts w:hint="eastAsia" w:ascii="宋体" w:hAnsi="宋体" w:cs="宋体"/>
                <w:b/>
                <w:bCs/>
                <w:color w:val="auto"/>
                <w:sz w:val="24"/>
                <w:highlight w:val="none"/>
                <w:lang w:val="en-US" w:eastAsia="zh-CN"/>
              </w:rPr>
              <w:t>注：多个专利证书分数可叠加。</w:t>
            </w:r>
          </w:p>
        </w:tc>
      </w:tr>
      <w:tr w14:paraId="65382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0" w:hRule="atLeast"/>
        </w:trPr>
        <w:tc>
          <w:tcPr>
            <w:tcW w:w="801" w:type="dxa"/>
            <w:vMerge w:val="continue"/>
            <w:noWrap w:val="0"/>
            <w:vAlign w:val="center"/>
          </w:tcPr>
          <w:p w14:paraId="7F2D3958">
            <w:pPr>
              <w:snapToGrid w:val="0"/>
              <w:spacing w:line="360" w:lineRule="auto"/>
              <w:jc w:val="center"/>
              <w:rPr>
                <w:rFonts w:hint="eastAsia" w:ascii="宋体" w:hAnsi="宋体" w:cs="宋体"/>
                <w:bCs/>
                <w:color w:val="auto"/>
                <w:kern w:val="0"/>
                <w:sz w:val="24"/>
                <w:highlight w:val="none"/>
              </w:rPr>
            </w:pPr>
          </w:p>
        </w:tc>
        <w:tc>
          <w:tcPr>
            <w:tcW w:w="799" w:type="dxa"/>
            <w:vMerge w:val="continue"/>
            <w:noWrap w:val="0"/>
            <w:vAlign w:val="top"/>
          </w:tcPr>
          <w:p w14:paraId="3978C764">
            <w:pPr>
              <w:snapToGrid w:val="0"/>
              <w:spacing w:line="360" w:lineRule="auto"/>
              <w:jc w:val="center"/>
              <w:rPr>
                <w:rFonts w:hint="eastAsia" w:ascii="宋体" w:hAnsi="宋体" w:cs="宋体"/>
                <w:bCs/>
                <w:color w:val="auto"/>
                <w:kern w:val="0"/>
                <w:sz w:val="24"/>
                <w:highlight w:val="none"/>
              </w:rPr>
            </w:pPr>
          </w:p>
        </w:tc>
        <w:tc>
          <w:tcPr>
            <w:tcW w:w="999" w:type="dxa"/>
            <w:noWrap w:val="0"/>
            <w:tcMar>
              <w:left w:w="75" w:type="dxa"/>
            </w:tcMar>
            <w:vAlign w:val="top"/>
          </w:tcPr>
          <w:p w14:paraId="1BFD5C95">
            <w:pPr>
              <w:spacing w:line="360" w:lineRule="auto"/>
              <w:jc w:val="both"/>
              <w:rPr>
                <w:rFonts w:hint="eastAsia" w:ascii="宋体" w:hAnsi="宋体" w:cs="宋体"/>
                <w:color w:val="auto"/>
                <w:sz w:val="24"/>
                <w:highlight w:val="none"/>
              </w:rPr>
            </w:pPr>
            <w:r>
              <w:rPr>
                <w:rFonts w:hint="eastAsia" w:ascii="宋体" w:hAnsi="宋体" w:eastAsia="宋体" w:cs="宋体"/>
                <w:color w:val="auto"/>
                <w:sz w:val="24"/>
                <w:highlight w:val="none"/>
                <w:lang w:val="en-US" w:eastAsia="zh-CN"/>
              </w:rPr>
              <w:t>投标人业绩</w:t>
            </w:r>
          </w:p>
        </w:tc>
        <w:tc>
          <w:tcPr>
            <w:tcW w:w="691" w:type="dxa"/>
            <w:noWrap w:val="0"/>
            <w:vAlign w:val="center"/>
          </w:tcPr>
          <w:p w14:paraId="321FCFC3">
            <w:pPr>
              <w:widowControl/>
              <w:snapToGrid w:val="0"/>
              <w:spacing w:line="360" w:lineRule="auto"/>
              <w:jc w:val="both"/>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10分</w:t>
            </w:r>
          </w:p>
          <w:p w14:paraId="5335D0A1">
            <w:pPr>
              <w:widowControl/>
              <w:snapToGrid w:val="0"/>
              <w:spacing w:line="360" w:lineRule="auto"/>
              <w:jc w:val="center"/>
              <w:rPr>
                <w:rFonts w:hint="eastAsia" w:ascii="宋体" w:hAnsi="宋体" w:cs="宋体"/>
                <w:color w:val="auto"/>
                <w:kern w:val="0"/>
                <w:sz w:val="24"/>
                <w:highlight w:val="none"/>
              </w:rPr>
            </w:pPr>
          </w:p>
        </w:tc>
        <w:tc>
          <w:tcPr>
            <w:tcW w:w="5838" w:type="dxa"/>
            <w:noWrap w:val="0"/>
            <w:vAlign w:val="center"/>
          </w:tcPr>
          <w:p w14:paraId="5679ACAA">
            <w:pPr>
              <w:widowControl/>
              <w:snapToGrid w:val="0"/>
              <w:spacing w:line="360" w:lineRule="auto"/>
              <w:jc w:val="both"/>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自</w:t>
            </w:r>
            <w:r>
              <w:rPr>
                <w:rFonts w:hint="eastAsia" w:ascii="宋体" w:hAnsi="宋体" w:cs="宋体"/>
                <w:color w:val="auto"/>
                <w:kern w:val="0"/>
                <w:sz w:val="24"/>
                <w:highlight w:val="none"/>
              </w:rPr>
              <w:t>20</w:t>
            </w:r>
            <w:r>
              <w:rPr>
                <w:rFonts w:hint="eastAsia" w:ascii="宋体" w:hAnsi="宋体" w:cs="宋体"/>
                <w:color w:val="auto"/>
                <w:kern w:val="0"/>
                <w:sz w:val="24"/>
                <w:highlight w:val="none"/>
                <w:lang w:val="en-US" w:eastAsia="zh-CN"/>
              </w:rPr>
              <w:t>21</w:t>
            </w:r>
            <w:r>
              <w:rPr>
                <w:rFonts w:hint="eastAsia" w:ascii="宋体" w:hAnsi="宋体" w:cs="宋体"/>
                <w:color w:val="auto"/>
                <w:kern w:val="0"/>
                <w:sz w:val="24"/>
                <w:highlight w:val="none"/>
              </w:rPr>
              <w:t>年1月1日来，</w:t>
            </w:r>
            <w:r>
              <w:rPr>
                <w:rFonts w:hint="eastAsia" w:ascii="宋体" w:hAnsi="宋体" w:cs="宋体"/>
                <w:color w:val="auto"/>
                <w:kern w:val="0"/>
                <w:sz w:val="24"/>
                <w:highlight w:val="none"/>
                <w:lang w:val="en-US" w:eastAsia="zh-CN"/>
              </w:rPr>
              <w:t>投</w:t>
            </w:r>
            <w:r>
              <w:rPr>
                <w:rFonts w:hint="eastAsia" w:ascii="宋体" w:hAnsi="宋体" w:cs="宋体"/>
                <w:color w:val="auto"/>
                <w:kern w:val="0"/>
                <w:sz w:val="24"/>
                <w:highlight w:val="none"/>
              </w:rPr>
              <w:t>标人</w:t>
            </w:r>
            <w:r>
              <w:rPr>
                <w:rFonts w:hint="eastAsia" w:ascii="宋体" w:hAnsi="宋体" w:cs="宋体"/>
                <w:color w:val="auto"/>
                <w:kern w:val="0"/>
                <w:sz w:val="24"/>
                <w:highlight w:val="none"/>
                <w:lang w:val="en-US" w:eastAsia="zh-CN"/>
              </w:rPr>
              <w:t>与国家电网项目签订</w:t>
            </w:r>
            <w:r>
              <w:rPr>
                <w:rFonts w:hint="eastAsia" w:ascii="宋体" w:hAnsi="宋体" w:cs="宋体"/>
                <w:color w:val="auto"/>
                <w:kern w:val="0"/>
                <w:sz w:val="24"/>
                <w:highlight w:val="none"/>
              </w:rPr>
              <w:t>合同金额不少于</w:t>
            </w:r>
            <w:r>
              <w:rPr>
                <w:rFonts w:hint="eastAsia" w:ascii="宋体" w:hAnsi="宋体" w:cs="宋体"/>
                <w:color w:val="auto"/>
                <w:kern w:val="0"/>
                <w:sz w:val="24"/>
                <w:highlight w:val="none"/>
                <w:lang w:val="en-US" w:eastAsia="zh-CN"/>
              </w:rPr>
              <w:t>30</w:t>
            </w:r>
            <w:r>
              <w:rPr>
                <w:rFonts w:hint="eastAsia" w:ascii="宋体" w:hAnsi="宋体" w:cs="宋体"/>
                <w:color w:val="auto"/>
                <w:kern w:val="0"/>
                <w:sz w:val="24"/>
                <w:highlight w:val="none"/>
              </w:rPr>
              <w:t>万元的</w:t>
            </w:r>
            <w:r>
              <w:rPr>
                <w:rFonts w:hint="eastAsia" w:ascii="宋体" w:hAnsi="宋体" w:cs="宋体"/>
                <w:color w:val="auto"/>
                <w:kern w:val="0"/>
                <w:sz w:val="24"/>
                <w:highlight w:val="none"/>
                <w:lang w:val="en-US" w:eastAsia="zh-CN"/>
              </w:rPr>
              <w:t>防火封堵</w:t>
            </w:r>
            <w:r>
              <w:rPr>
                <w:rFonts w:hint="eastAsia" w:ascii="宋体" w:hAnsi="宋体" w:cs="宋体"/>
                <w:color w:val="auto"/>
                <w:kern w:val="0"/>
                <w:sz w:val="24"/>
                <w:highlight w:val="none"/>
              </w:rPr>
              <w:t xml:space="preserve">业绩，每提供一个得 </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分，本项</w:t>
            </w:r>
            <w:r>
              <w:rPr>
                <w:rFonts w:hint="eastAsia" w:ascii="宋体" w:hAnsi="宋体" w:cs="宋体"/>
                <w:color w:val="auto"/>
                <w:kern w:val="0"/>
                <w:sz w:val="24"/>
                <w:highlight w:val="none"/>
                <w:lang w:val="en-US" w:eastAsia="zh-CN"/>
              </w:rPr>
              <w:t>满分10</w:t>
            </w:r>
            <w:r>
              <w:rPr>
                <w:rFonts w:hint="eastAsia" w:ascii="宋体" w:hAnsi="宋体" w:cs="宋体"/>
                <w:color w:val="auto"/>
                <w:kern w:val="0"/>
                <w:sz w:val="24"/>
                <w:highlight w:val="none"/>
              </w:rPr>
              <w:t>分。</w:t>
            </w:r>
          </w:p>
        </w:tc>
      </w:tr>
      <w:tr w14:paraId="7BD9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01" w:type="dxa"/>
            <w:noWrap w:val="0"/>
            <w:vAlign w:val="center"/>
          </w:tcPr>
          <w:p w14:paraId="2B2869D8">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2.2.2（3）</w:t>
            </w:r>
          </w:p>
        </w:tc>
        <w:tc>
          <w:tcPr>
            <w:tcW w:w="799" w:type="dxa"/>
            <w:noWrap w:val="0"/>
            <w:vAlign w:val="center"/>
          </w:tcPr>
          <w:p w14:paraId="11F0F7CC">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报价文件评分标准</w:t>
            </w:r>
          </w:p>
        </w:tc>
        <w:tc>
          <w:tcPr>
            <w:tcW w:w="999" w:type="dxa"/>
            <w:noWrap w:val="0"/>
            <w:vAlign w:val="center"/>
          </w:tcPr>
          <w:p w14:paraId="58537FC2">
            <w:pPr>
              <w:spacing w:line="360" w:lineRule="auto"/>
              <w:jc w:val="center"/>
              <w:rPr>
                <w:rFonts w:hint="eastAsia" w:ascii="宋体" w:hAnsi="宋体" w:cs="宋体"/>
                <w:color w:val="auto"/>
                <w:sz w:val="24"/>
                <w:lang w:val="en-US" w:eastAsia="zh-CN" w:bidi="ar-SA"/>
              </w:rPr>
            </w:pPr>
            <w:r>
              <w:rPr>
                <w:rFonts w:hint="eastAsia" w:hAnsi="宋体" w:cs="宋体"/>
                <w:color w:val="auto"/>
                <w:lang w:eastAsia="zh-CN"/>
              </w:rPr>
              <w:t>投标报</w:t>
            </w:r>
            <w:r>
              <w:rPr>
                <w:rFonts w:hint="eastAsia" w:hAnsi="宋体" w:cs="宋体"/>
                <w:color w:val="auto"/>
              </w:rPr>
              <w:t>价</w:t>
            </w:r>
          </w:p>
        </w:tc>
        <w:tc>
          <w:tcPr>
            <w:tcW w:w="691" w:type="dxa"/>
            <w:noWrap w:val="0"/>
            <w:vAlign w:val="center"/>
          </w:tcPr>
          <w:p w14:paraId="712EA8FF">
            <w:pPr>
              <w:spacing w:line="360" w:lineRule="auto"/>
              <w:jc w:val="left"/>
              <w:rPr>
                <w:rFonts w:hint="eastAsia" w:ascii="宋体" w:hAnsi="宋体" w:cs="宋体"/>
                <w:color w:val="auto"/>
                <w:sz w:val="24"/>
                <w:lang w:val="en-US" w:eastAsia="zh-CN" w:bidi="ar-SA"/>
              </w:rPr>
            </w:pPr>
            <w:r>
              <w:rPr>
                <w:rFonts w:hint="eastAsia" w:ascii="宋体" w:hAnsi="宋体" w:eastAsia="宋体" w:cs="宋体"/>
                <w:color w:val="auto"/>
                <w:kern w:val="0"/>
                <w:sz w:val="24"/>
                <w:highlight w:val="none"/>
                <w:lang w:val="en-US" w:eastAsia="zh-CN"/>
              </w:rPr>
              <w:t>40</w:t>
            </w:r>
            <w:r>
              <w:rPr>
                <w:rFonts w:hint="eastAsia" w:hAnsi="宋体" w:cs="宋体"/>
                <w:color w:val="auto"/>
              </w:rPr>
              <w:t>分</w:t>
            </w:r>
          </w:p>
        </w:tc>
        <w:tc>
          <w:tcPr>
            <w:tcW w:w="5838" w:type="dxa"/>
            <w:noWrap w:val="0"/>
            <w:vAlign w:val="center"/>
          </w:tcPr>
          <w:p w14:paraId="60FB2D01">
            <w:pPr>
              <w:snapToGrid w:val="0"/>
              <w:spacing w:line="36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1.评标基准价：所有资格审查合格、有效投标报价的算术平均值（不剔除最高、最低）。</w:t>
            </w:r>
          </w:p>
          <w:p w14:paraId="6127450B">
            <w:pPr>
              <w:snapToGrid w:val="0"/>
              <w:spacing w:line="36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2.投标报价等于基准价，得满分40分。</w:t>
            </w:r>
          </w:p>
          <w:p w14:paraId="7F7AED1F">
            <w:pPr>
              <w:snapToGrid w:val="0"/>
              <w:spacing w:line="36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3.报价高于基准价：每高出1%扣1.0分。</w:t>
            </w:r>
          </w:p>
          <w:p w14:paraId="1C65C7FA">
            <w:pPr>
              <w:snapToGrid w:val="0"/>
              <w:spacing w:line="36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4.报价低于基准价：每低1%扣1.0分。</w:t>
            </w:r>
          </w:p>
          <w:p w14:paraId="13C27CE9">
            <w:pPr>
              <w:snapToGrid w:val="0"/>
              <w:spacing w:line="360" w:lineRule="auto"/>
              <w:jc w:val="left"/>
              <w:rPr>
                <w:rFonts w:hint="eastAsia" w:ascii="宋体" w:hAnsi="宋体" w:cs="宋体"/>
                <w:color w:val="auto"/>
                <w:spacing w:val="-2"/>
                <w:sz w:val="24"/>
                <w:lang w:val="en-US" w:eastAsia="zh-CN" w:bidi="ar-SA"/>
              </w:rPr>
            </w:pPr>
            <w:r>
              <w:rPr>
                <w:rFonts w:hint="eastAsia" w:ascii="宋体" w:hAnsi="宋体" w:eastAsia="宋体" w:cs="宋体"/>
                <w:color w:val="auto"/>
                <w:sz w:val="24"/>
                <w:highlight w:val="none"/>
                <w:lang w:val="en-US" w:eastAsia="zh-CN"/>
              </w:rPr>
              <w:t>5.不足1%按线性插值法计算，得分保留两位小数，最低0分。</w:t>
            </w:r>
          </w:p>
        </w:tc>
      </w:tr>
    </w:tbl>
    <w:p w14:paraId="749529A0">
      <w:pPr>
        <w:pStyle w:val="3"/>
        <w:spacing w:line="500" w:lineRule="exact"/>
        <w:ind w:firstLine="0"/>
        <w:rPr>
          <w:rFonts w:hint="eastAsia" w:ascii="黑体" w:hAnsi="宋体"/>
          <w:highlight w:val="none"/>
        </w:rPr>
      </w:pPr>
      <w:r>
        <w:rPr>
          <w:rFonts w:hint="eastAsia" w:ascii="宋体" w:hAnsi="宋体" w:eastAsia="宋体" w:cs="Times New Roman"/>
          <w:sz w:val="24"/>
          <w:szCs w:val="24"/>
          <w:highlight w:val="yellow"/>
          <w:lang w:val="en-US" w:eastAsia="zh-CN"/>
        </w:rPr>
        <w:br w:type="page"/>
      </w:r>
      <w:bookmarkStart w:id="9" w:name="_Toc245028818"/>
      <w:bookmarkStart w:id="10" w:name="_Toc39733482"/>
      <w:bookmarkStart w:id="11" w:name="_Toc273602352"/>
      <w:bookmarkStart w:id="12" w:name="_Toc2829"/>
      <w:bookmarkStart w:id="13" w:name="_Toc245714170"/>
      <w:r>
        <w:rPr>
          <w:rFonts w:hint="eastAsia" w:ascii="宋体" w:hAnsi="宋体" w:eastAsia="宋体"/>
          <w:highlight w:val="none"/>
        </w:rPr>
        <w:t>第</w:t>
      </w:r>
      <w:r>
        <w:rPr>
          <w:rFonts w:hint="eastAsia" w:ascii="宋体" w:hAnsi="宋体" w:eastAsia="宋体"/>
          <w:highlight w:val="none"/>
          <w:lang w:val="en-US" w:eastAsia="zh-CN"/>
        </w:rPr>
        <w:t>三</w:t>
      </w:r>
      <w:r>
        <w:rPr>
          <w:rFonts w:hint="eastAsia" w:ascii="宋体" w:hAnsi="宋体" w:eastAsia="宋体"/>
          <w:highlight w:val="none"/>
        </w:rPr>
        <w:t>章 投标文件格式</w:t>
      </w:r>
      <w:bookmarkEnd w:id="9"/>
      <w:bookmarkEnd w:id="10"/>
      <w:bookmarkEnd w:id="11"/>
      <w:bookmarkEnd w:id="12"/>
      <w:bookmarkEnd w:id="13"/>
    </w:p>
    <w:p w14:paraId="3A1FC2C3">
      <w:pPr>
        <w:rPr>
          <w:rFonts w:hint="eastAsia"/>
          <w:highlight w:val="none"/>
        </w:rPr>
      </w:pPr>
      <w:bookmarkStart w:id="14" w:name="_Toc232592019"/>
      <w:bookmarkStart w:id="15" w:name="_Toc220232394"/>
    </w:p>
    <w:p w14:paraId="608C6D92">
      <w:pPr>
        <w:spacing w:line="900" w:lineRule="exact"/>
        <w:jc w:val="center"/>
        <w:rPr>
          <w:rFonts w:hint="eastAsia" w:ascii="宋体" w:hAnsi="宋体"/>
          <w:b/>
          <w:sz w:val="44"/>
          <w:szCs w:val="44"/>
          <w:highlight w:val="none"/>
        </w:rPr>
      </w:pPr>
    </w:p>
    <w:p w14:paraId="6335F581">
      <w:pPr>
        <w:pStyle w:val="3"/>
        <w:rPr>
          <w:rFonts w:hint="eastAsia" w:eastAsia="黑体"/>
          <w:highlight w:val="none"/>
          <w:lang w:eastAsia="zh-CN"/>
        </w:rPr>
      </w:pPr>
      <w:r>
        <w:rPr>
          <w:rFonts w:hint="eastAsia"/>
          <w:b/>
          <w:bCs/>
          <w:sz w:val="56"/>
          <w:szCs w:val="56"/>
          <w:highlight w:val="none"/>
          <w:lang w:eastAsia="zh-CN"/>
        </w:rPr>
        <w:t>（</w:t>
      </w:r>
      <w:r>
        <w:rPr>
          <w:rFonts w:hint="eastAsia"/>
          <w:b/>
          <w:bCs/>
          <w:sz w:val="56"/>
          <w:szCs w:val="56"/>
          <w:highlight w:val="none"/>
          <w:lang w:val="en-US" w:eastAsia="zh-CN"/>
        </w:rPr>
        <w:t>项目名称</w:t>
      </w:r>
      <w:r>
        <w:rPr>
          <w:rFonts w:hint="eastAsia"/>
          <w:b/>
          <w:bCs/>
          <w:sz w:val="56"/>
          <w:szCs w:val="56"/>
          <w:highlight w:val="none"/>
          <w:lang w:eastAsia="zh-CN"/>
        </w:rPr>
        <w:t>）</w:t>
      </w:r>
    </w:p>
    <w:p w14:paraId="33EBACBB">
      <w:pPr>
        <w:spacing w:line="900" w:lineRule="exact"/>
        <w:jc w:val="center"/>
        <w:rPr>
          <w:rFonts w:hint="eastAsia" w:ascii="宋体" w:hAnsi="宋体"/>
          <w:b/>
          <w:sz w:val="56"/>
          <w:szCs w:val="18"/>
          <w:highlight w:val="none"/>
        </w:rPr>
      </w:pPr>
      <w:r>
        <w:rPr>
          <w:rFonts w:hint="eastAsia" w:ascii="宋体" w:hAnsi="宋体"/>
          <w:b/>
          <w:sz w:val="56"/>
          <w:szCs w:val="18"/>
          <w:highlight w:val="none"/>
        </w:rPr>
        <w:t>投</w:t>
      </w:r>
    </w:p>
    <w:p w14:paraId="454532A2">
      <w:pPr>
        <w:spacing w:line="900" w:lineRule="exact"/>
        <w:jc w:val="center"/>
        <w:rPr>
          <w:rFonts w:hint="eastAsia" w:ascii="宋体" w:hAnsi="宋体"/>
          <w:b/>
          <w:sz w:val="56"/>
          <w:szCs w:val="18"/>
          <w:highlight w:val="none"/>
        </w:rPr>
      </w:pPr>
      <w:r>
        <w:rPr>
          <w:rFonts w:hint="eastAsia" w:ascii="宋体" w:hAnsi="宋体"/>
          <w:b/>
          <w:sz w:val="56"/>
          <w:szCs w:val="18"/>
          <w:highlight w:val="none"/>
        </w:rPr>
        <w:t>标</w:t>
      </w:r>
    </w:p>
    <w:p w14:paraId="47483AD8">
      <w:pPr>
        <w:spacing w:line="900" w:lineRule="exact"/>
        <w:jc w:val="center"/>
        <w:rPr>
          <w:rFonts w:hint="eastAsia" w:ascii="宋体" w:hAnsi="宋体"/>
          <w:b/>
          <w:sz w:val="56"/>
          <w:szCs w:val="18"/>
          <w:highlight w:val="none"/>
        </w:rPr>
      </w:pPr>
      <w:r>
        <w:rPr>
          <w:rFonts w:hint="eastAsia" w:ascii="宋体" w:hAnsi="宋体"/>
          <w:b/>
          <w:sz w:val="56"/>
          <w:szCs w:val="18"/>
          <w:highlight w:val="none"/>
        </w:rPr>
        <w:t>文</w:t>
      </w:r>
    </w:p>
    <w:p w14:paraId="2492FF66">
      <w:pPr>
        <w:jc w:val="center"/>
        <w:rPr>
          <w:rFonts w:hint="eastAsia" w:ascii="宋体" w:hAnsi="宋体"/>
          <w:b/>
          <w:sz w:val="56"/>
          <w:szCs w:val="18"/>
          <w:highlight w:val="none"/>
        </w:rPr>
      </w:pPr>
      <w:r>
        <w:rPr>
          <w:rFonts w:hint="eastAsia" w:ascii="宋体" w:hAnsi="宋体"/>
          <w:b/>
          <w:sz w:val="56"/>
          <w:szCs w:val="18"/>
          <w:highlight w:val="none"/>
        </w:rPr>
        <w:t>件</w:t>
      </w:r>
    </w:p>
    <w:p w14:paraId="4AD3ED33">
      <w:pPr>
        <w:jc w:val="center"/>
        <w:rPr>
          <w:rFonts w:hint="eastAsia" w:ascii="宋体" w:hAnsi="宋体"/>
          <w:b/>
          <w:sz w:val="56"/>
          <w:szCs w:val="18"/>
          <w:highlight w:val="none"/>
        </w:rPr>
      </w:pPr>
    </w:p>
    <w:p w14:paraId="7965CF28">
      <w:pPr>
        <w:spacing w:after="120" w:afterLines="50" w:line="500" w:lineRule="exact"/>
        <w:jc w:val="center"/>
        <w:rPr>
          <w:rFonts w:hint="eastAsia" w:ascii="宋体" w:hAnsi="宋体"/>
          <w:b/>
          <w:sz w:val="72"/>
          <w:highlight w:val="none"/>
        </w:rPr>
      </w:pPr>
    </w:p>
    <w:p w14:paraId="5F28D6F2">
      <w:pPr>
        <w:spacing w:after="120" w:afterLines="50" w:line="480" w:lineRule="auto"/>
        <w:rPr>
          <w:rFonts w:hint="eastAsia" w:ascii="宋体" w:hAnsi="宋体"/>
          <w:b/>
          <w:sz w:val="32"/>
          <w:highlight w:val="none"/>
          <w:u w:val="single"/>
        </w:rPr>
      </w:pPr>
      <w:r>
        <w:rPr>
          <w:rFonts w:hint="eastAsia" w:ascii="宋体" w:hAnsi="宋体"/>
          <w:b/>
          <w:sz w:val="30"/>
          <w:highlight w:val="none"/>
        </w:rPr>
        <w:t xml:space="preserve">                 </w:t>
      </w:r>
      <w:r>
        <w:rPr>
          <w:rFonts w:hint="eastAsia" w:ascii="宋体" w:hAnsi="宋体"/>
          <w:b/>
          <w:sz w:val="32"/>
          <w:highlight w:val="none"/>
        </w:rPr>
        <w:t>投标人：</w:t>
      </w:r>
      <w:r>
        <w:rPr>
          <w:rFonts w:hint="eastAsia" w:ascii="宋体" w:hAnsi="宋体"/>
          <w:b/>
          <w:sz w:val="32"/>
          <w:highlight w:val="none"/>
          <w:u w:val="single"/>
        </w:rPr>
        <w:t xml:space="preserve">               </w:t>
      </w:r>
    </w:p>
    <w:p w14:paraId="15FC8327">
      <w:pPr>
        <w:spacing w:after="120" w:afterLines="50" w:line="480" w:lineRule="auto"/>
        <w:jc w:val="center"/>
        <w:rPr>
          <w:rFonts w:hint="eastAsia" w:ascii="宋体" w:hAnsi="宋体"/>
          <w:b/>
          <w:sz w:val="32"/>
          <w:highlight w:val="none"/>
        </w:rPr>
      </w:pP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年</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月</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日</w:t>
      </w:r>
    </w:p>
    <w:p w14:paraId="284DAA50">
      <w:pPr>
        <w:rPr>
          <w:highlight w:val="none"/>
        </w:rPr>
      </w:pPr>
    </w:p>
    <w:p w14:paraId="7B91FFA1">
      <w:pPr>
        <w:rPr>
          <w:highlight w:val="none"/>
        </w:rPr>
      </w:pPr>
    </w:p>
    <w:p w14:paraId="275A57AD">
      <w:pPr>
        <w:rPr>
          <w:rFonts w:hint="eastAsia"/>
          <w:highlight w:val="none"/>
        </w:rPr>
      </w:pPr>
    </w:p>
    <w:p w14:paraId="19451C7D">
      <w:pPr>
        <w:pStyle w:val="4"/>
        <w:rPr>
          <w:rFonts w:hAnsi="宋体"/>
          <w:sz w:val="28"/>
          <w:highlight w:val="none"/>
        </w:rPr>
      </w:pPr>
      <w:r>
        <w:rPr>
          <w:highlight w:val="none"/>
        </w:rPr>
        <w:br w:type="page"/>
      </w:r>
      <w:bookmarkStart w:id="16" w:name="_Toc20758"/>
      <w:bookmarkStart w:id="17" w:name="_Toc273602355"/>
      <w:bookmarkStart w:id="18" w:name="_Toc39733483"/>
      <w:bookmarkStart w:id="19" w:name="_Toc245714173"/>
      <w:r>
        <w:rPr>
          <w:rFonts w:hint="eastAsia" w:hAnsi="宋体"/>
          <w:sz w:val="28"/>
          <w:highlight w:val="none"/>
        </w:rPr>
        <w:t>一、投标函</w:t>
      </w:r>
      <w:bookmarkEnd w:id="16"/>
      <w:bookmarkEnd w:id="17"/>
      <w:bookmarkEnd w:id="18"/>
      <w:bookmarkEnd w:id="19"/>
    </w:p>
    <w:p w14:paraId="09D64525">
      <w:pPr>
        <w:pStyle w:val="9"/>
        <w:spacing w:line="360" w:lineRule="auto"/>
        <w:rPr>
          <w:rFonts w:ascii="宋体" w:hAnsi="宋体"/>
          <w:sz w:val="24"/>
          <w:highlight w:val="none"/>
          <w:lang w:val="en-US" w:eastAsia="zh-CN"/>
        </w:rPr>
      </w:pPr>
      <w:r>
        <w:rPr>
          <w:rFonts w:hint="eastAsia" w:ascii="宋体" w:hAnsi="宋体"/>
          <w:sz w:val="24"/>
          <w:highlight w:val="none"/>
        </w:rPr>
        <w:t>致：</w:t>
      </w:r>
      <w:r>
        <w:rPr>
          <w:rFonts w:hint="eastAsia"/>
          <w:sz w:val="24"/>
          <w:highlight w:val="none"/>
          <w:lang w:val="en-US" w:eastAsia="zh-CN"/>
        </w:rPr>
        <w:t>芜湖滨江文旅投资运营</w:t>
      </w:r>
      <w:r>
        <w:rPr>
          <w:rFonts w:hint="eastAsia" w:ascii="宋体" w:hAnsi="宋体"/>
          <w:sz w:val="24"/>
          <w:highlight w:val="none"/>
          <w:lang w:eastAsia="zh-CN"/>
        </w:rPr>
        <w:t>有限公司</w:t>
      </w:r>
    </w:p>
    <w:p w14:paraId="5673D89F">
      <w:pPr>
        <w:spacing w:line="360" w:lineRule="auto"/>
        <w:ind w:firstLine="630"/>
        <w:rPr>
          <w:rFonts w:hint="eastAsia" w:ascii="宋体" w:hAnsi="宋体"/>
          <w:dstrike/>
          <w:sz w:val="24"/>
          <w:highlight w:val="none"/>
        </w:rPr>
      </w:pPr>
      <w:r>
        <w:rPr>
          <w:rFonts w:hint="eastAsia" w:ascii="宋体" w:hAnsi="宋体"/>
          <w:sz w:val="24"/>
          <w:highlight w:val="none"/>
        </w:rPr>
        <w:t>根据贵方</w:t>
      </w:r>
      <w:r>
        <w:rPr>
          <w:rFonts w:hint="eastAsia" w:ascii="宋体" w:hAnsi="宋体"/>
          <w:sz w:val="24"/>
          <w:highlight w:val="none"/>
          <w:u w:val="single"/>
        </w:rPr>
        <w:t>“</w:t>
      </w:r>
      <w:r>
        <w:rPr>
          <w:rFonts w:hint="eastAsia" w:ascii="宋体" w:hAnsi="宋体"/>
          <w:sz w:val="24"/>
          <w:highlight w:val="none"/>
          <w:u w:val="single"/>
          <w:lang w:val="en-US" w:eastAsia="zh-CN"/>
        </w:rPr>
        <w:t xml:space="preserve">       </w:t>
      </w:r>
      <w:r>
        <w:rPr>
          <w:rFonts w:hint="eastAsia" w:ascii="宋体" w:hAnsi="宋体"/>
          <w:sz w:val="24"/>
          <w:highlight w:val="none"/>
          <w:u w:val="single"/>
        </w:rPr>
        <w:t>”</w:t>
      </w:r>
      <w:r>
        <w:rPr>
          <w:rFonts w:hint="eastAsia" w:ascii="宋体" w:hAnsi="宋体"/>
          <w:sz w:val="24"/>
          <w:highlight w:val="none"/>
        </w:rPr>
        <w:t>项目的招标邀请书或招标公告，正式授权下述签字人</w:t>
      </w:r>
      <w:r>
        <w:rPr>
          <w:rFonts w:hint="eastAsia" w:ascii="宋体" w:hAnsi="宋体"/>
          <w:sz w:val="24"/>
          <w:highlight w:val="none"/>
          <w:u w:val="single"/>
        </w:rPr>
        <w:t xml:space="preserve">         　</w:t>
      </w:r>
      <w:r>
        <w:rPr>
          <w:rFonts w:hint="eastAsia" w:ascii="宋体" w:hAnsi="宋体"/>
          <w:sz w:val="24"/>
          <w:highlight w:val="none"/>
        </w:rPr>
        <w:t>（姓名）代表投标人</w:t>
      </w:r>
      <w:r>
        <w:rPr>
          <w:rFonts w:hint="eastAsia" w:ascii="宋体" w:hAnsi="宋体"/>
          <w:sz w:val="24"/>
          <w:highlight w:val="none"/>
          <w:u w:val="single"/>
        </w:rPr>
        <w:t xml:space="preserve">        　   </w:t>
      </w:r>
      <w:r>
        <w:rPr>
          <w:rFonts w:hint="eastAsia" w:ascii="宋体" w:hAnsi="宋体"/>
          <w:sz w:val="24"/>
          <w:highlight w:val="none"/>
        </w:rPr>
        <w:t>（投标人全称），提交投标文件正本</w:t>
      </w:r>
      <w:r>
        <w:rPr>
          <w:rFonts w:hint="eastAsia" w:ascii="宋体" w:hAnsi="宋体"/>
          <w:sz w:val="24"/>
          <w:highlight w:val="none"/>
          <w:u w:val="single"/>
          <w:lang w:val="en-US" w:eastAsia="zh-CN"/>
        </w:rPr>
        <w:t>1</w:t>
      </w:r>
      <w:r>
        <w:rPr>
          <w:rFonts w:hint="eastAsia" w:ascii="宋体" w:hAnsi="宋体"/>
          <w:sz w:val="24"/>
          <w:highlight w:val="none"/>
        </w:rPr>
        <w:t>份，副本</w:t>
      </w:r>
      <w:r>
        <w:rPr>
          <w:rFonts w:hint="eastAsia" w:ascii="宋体" w:hAnsi="宋体"/>
          <w:b/>
          <w:sz w:val="24"/>
          <w:highlight w:val="none"/>
          <w:u w:val="single"/>
        </w:rPr>
        <w:t>　</w:t>
      </w:r>
      <w:r>
        <w:rPr>
          <w:rFonts w:hint="eastAsia" w:ascii="宋体" w:hAnsi="宋体"/>
          <w:sz w:val="24"/>
          <w:highlight w:val="none"/>
        </w:rPr>
        <w:t>份。</w:t>
      </w:r>
    </w:p>
    <w:p w14:paraId="53FFECD3">
      <w:pPr>
        <w:spacing w:line="360" w:lineRule="auto"/>
        <w:ind w:firstLine="630"/>
        <w:rPr>
          <w:rFonts w:hint="eastAsia" w:ascii="宋体" w:hAnsi="宋体"/>
          <w:sz w:val="24"/>
          <w:highlight w:val="none"/>
        </w:rPr>
      </w:pPr>
      <w:r>
        <w:rPr>
          <w:rFonts w:hint="eastAsia" w:ascii="宋体" w:hAnsi="宋体"/>
          <w:sz w:val="24"/>
          <w:highlight w:val="none"/>
        </w:rPr>
        <w:t>据此函，签字人兹宣布同意如下：</w:t>
      </w:r>
    </w:p>
    <w:p w14:paraId="0F90E541">
      <w:pPr>
        <w:spacing w:line="360" w:lineRule="auto"/>
        <w:ind w:firstLine="630"/>
        <w:rPr>
          <w:rFonts w:ascii="宋体" w:hAnsi="宋体"/>
          <w:sz w:val="24"/>
          <w:highlight w:val="none"/>
        </w:rPr>
      </w:pPr>
      <w:r>
        <w:rPr>
          <w:rFonts w:hint="eastAsia" w:ascii="宋体" w:hAnsi="宋体"/>
          <w:sz w:val="24"/>
          <w:highlight w:val="none"/>
        </w:rPr>
        <w:t>（1）我方完全响应招标文件要求，如我方中标，我方承诺将服从采购方管理，严格按照采购方相关规定履行业务。</w:t>
      </w:r>
    </w:p>
    <w:p w14:paraId="57BDB8D7">
      <w:pPr>
        <w:spacing w:line="360" w:lineRule="auto"/>
        <w:ind w:firstLine="630"/>
        <w:rPr>
          <w:rFonts w:hint="eastAsia" w:ascii="宋体" w:hAnsi="宋体"/>
          <w:sz w:val="24"/>
          <w:highlight w:val="none"/>
        </w:rPr>
      </w:pPr>
      <w:r>
        <w:rPr>
          <w:rFonts w:hint="eastAsia" w:ascii="宋体" w:hAnsi="宋体"/>
          <w:sz w:val="24"/>
          <w:highlight w:val="none"/>
        </w:rPr>
        <w:t>（2）我方根据招标文件的规定，严格履行合同的责任和义务</w:t>
      </w:r>
      <w:r>
        <w:rPr>
          <w:rFonts w:ascii="宋体" w:hAnsi="宋体"/>
          <w:sz w:val="24"/>
          <w:highlight w:val="none"/>
        </w:rPr>
        <w:t>,</w:t>
      </w:r>
      <w:r>
        <w:rPr>
          <w:rFonts w:hint="eastAsia" w:ascii="宋体" w:hAnsi="宋体"/>
          <w:sz w:val="24"/>
          <w:highlight w:val="none"/>
        </w:rPr>
        <w:t>并保证于招标方要求的日期内提供优质服务。</w:t>
      </w:r>
    </w:p>
    <w:p w14:paraId="4D2A3F27">
      <w:pPr>
        <w:spacing w:line="360" w:lineRule="auto"/>
        <w:ind w:firstLine="630"/>
        <w:rPr>
          <w:rFonts w:hint="eastAsia" w:ascii="宋体" w:hAnsi="宋体"/>
          <w:sz w:val="24"/>
          <w:highlight w:val="none"/>
        </w:rPr>
      </w:pPr>
      <w:r>
        <w:rPr>
          <w:rFonts w:hint="eastAsia" w:ascii="宋体" w:hAnsi="宋体"/>
          <w:sz w:val="24"/>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7C6B9556">
      <w:pPr>
        <w:spacing w:line="360" w:lineRule="auto"/>
        <w:ind w:firstLine="630"/>
        <w:rPr>
          <w:rFonts w:hint="eastAsia" w:ascii="宋体" w:hAnsi="宋体"/>
          <w:sz w:val="24"/>
          <w:highlight w:val="none"/>
        </w:rPr>
      </w:pPr>
      <w:r>
        <w:rPr>
          <w:rFonts w:hint="eastAsia" w:ascii="宋体" w:hAnsi="宋体"/>
          <w:sz w:val="24"/>
          <w:highlight w:val="none"/>
        </w:rPr>
        <w:t>（4）我方同意从招标文件规定的开标日期起遵循本投标文件，并在招标文件规定的投标有效期之前均具有约束力。</w:t>
      </w:r>
    </w:p>
    <w:p w14:paraId="433CFD0D">
      <w:pPr>
        <w:spacing w:line="360" w:lineRule="auto"/>
        <w:ind w:firstLine="630"/>
        <w:rPr>
          <w:rFonts w:hint="eastAsia" w:ascii="宋体" w:hAnsi="宋体"/>
          <w:sz w:val="24"/>
          <w:highlight w:val="none"/>
        </w:rPr>
      </w:pPr>
      <w:r>
        <w:rPr>
          <w:rFonts w:hint="eastAsia" w:ascii="宋体" w:hAnsi="宋体"/>
          <w:sz w:val="24"/>
          <w:highlight w:val="none"/>
        </w:rPr>
        <w:t>（5）我方声明投标文件所提供的一切资料真实、及时、有效。由于我方提供资料不实而造成的责任和后果由我方承担。我方同意按照贵方提出的要求，提供与投标有关的任何证据、数据或资料。</w:t>
      </w:r>
    </w:p>
    <w:p w14:paraId="72A04872">
      <w:pPr>
        <w:spacing w:line="360" w:lineRule="auto"/>
        <w:ind w:firstLine="630"/>
        <w:rPr>
          <w:rFonts w:hint="eastAsia" w:ascii="宋体" w:hAnsi="宋体"/>
          <w:sz w:val="24"/>
          <w:highlight w:val="none"/>
          <w:u w:val="single"/>
        </w:rPr>
      </w:pPr>
      <w:r>
        <w:rPr>
          <w:rFonts w:hint="eastAsia" w:ascii="宋体" w:hAnsi="宋体"/>
          <w:sz w:val="24"/>
          <w:highlight w:val="none"/>
        </w:rPr>
        <w:t>（</w:t>
      </w:r>
      <w:r>
        <w:rPr>
          <w:rFonts w:hint="eastAsia" w:ascii="宋体" w:hAnsi="宋体"/>
          <w:sz w:val="24"/>
          <w:highlight w:val="none"/>
          <w:lang w:val="en-US" w:eastAsia="zh-CN"/>
        </w:rPr>
        <w:t>6</w:t>
      </w:r>
      <w:r>
        <w:rPr>
          <w:rFonts w:hint="eastAsia" w:ascii="宋体" w:hAnsi="宋体"/>
          <w:sz w:val="24"/>
          <w:highlight w:val="none"/>
        </w:rPr>
        <w:t>）与本投标有关的通讯地址：</w:t>
      </w:r>
      <w:r>
        <w:rPr>
          <w:rFonts w:hint="eastAsia" w:ascii="宋体" w:hAnsi="宋体"/>
          <w:sz w:val="24"/>
          <w:highlight w:val="none"/>
          <w:u w:val="single"/>
        </w:rPr>
        <w:t xml:space="preserve">                                  </w:t>
      </w:r>
    </w:p>
    <w:p w14:paraId="3B21DBCA">
      <w:pPr>
        <w:spacing w:line="360" w:lineRule="auto"/>
        <w:ind w:firstLine="630"/>
        <w:rPr>
          <w:rFonts w:hint="eastAsia" w:ascii="宋体" w:hAnsi="宋体"/>
          <w:sz w:val="24"/>
          <w:highlight w:val="none"/>
          <w:u w:val="single"/>
        </w:rPr>
      </w:pPr>
      <w:r>
        <w:rPr>
          <w:rFonts w:hint="eastAsia" w:ascii="宋体" w:hAnsi="宋体"/>
          <w:sz w:val="24"/>
          <w:highlight w:val="none"/>
        </w:rPr>
        <w:t>电    话：</w:t>
      </w:r>
      <w:r>
        <w:rPr>
          <w:rFonts w:hint="eastAsia" w:ascii="宋体" w:hAnsi="宋体"/>
          <w:sz w:val="24"/>
          <w:highlight w:val="none"/>
          <w:u w:val="single"/>
        </w:rPr>
        <w:t xml:space="preserve">                       </w:t>
      </w:r>
      <w:r>
        <w:rPr>
          <w:rFonts w:hint="eastAsia" w:ascii="宋体" w:hAnsi="宋体"/>
          <w:sz w:val="24"/>
          <w:highlight w:val="none"/>
        </w:rPr>
        <w:t>传    真：</w:t>
      </w:r>
      <w:r>
        <w:rPr>
          <w:rFonts w:hint="eastAsia" w:ascii="宋体" w:hAnsi="宋体"/>
          <w:sz w:val="24"/>
          <w:highlight w:val="none"/>
          <w:u w:val="single"/>
        </w:rPr>
        <w:t xml:space="preserve">                 </w:t>
      </w:r>
    </w:p>
    <w:p w14:paraId="4C91D5D5">
      <w:pPr>
        <w:spacing w:line="360" w:lineRule="auto"/>
        <w:ind w:firstLine="630"/>
        <w:rPr>
          <w:rFonts w:hint="eastAsia" w:ascii="宋体" w:hAnsi="宋体"/>
          <w:sz w:val="24"/>
          <w:highlight w:val="none"/>
          <w:u w:val="single"/>
        </w:rPr>
      </w:pPr>
      <w:r>
        <w:rPr>
          <w:rFonts w:hint="eastAsia" w:ascii="宋体" w:hAnsi="宋体"/>
          <w:sz w:val="24"/>
          <w:highlight w:val="none"/>
        </w:rPr>
        <w:t>投标人（公章）：</w:t>
      </w:r>
      <w:r>
        <w:rPr>
          <w:rFonts w:hint="eastAsia" w:ascii="宋体" w:hAnsi="宋体"/>
          <w:sz w:val="24"/>
          <w:highlight w:val="none"/>
          <w:u w:val="single"/>
        </w:rPr>
        <w:t xml:space="preserve">                     </w:t>
      </w:r>
    </w:p>
    <w:p w14:paraId="6BF62C6E">
      <w:pPr>
        <w:tabs>
          <w:tab w:val="left" w:pos="630"/>
        </w:tabs>
        <w:spacing w:line="360" w:lineRule="auto"/>
        <w:ind w:firstLine="630"/>
        <w:rPr>
          <w:rFonts w:hint="eastAsia" w:ascii="宋体" w:hAnsi="宋体"/>
          <w:sz w:val="24"/>
          <w:highlight w:val="none"/>
        </w:rPr>
      </w:pPr>
      <w:r>
        <w:rPr>
          <w:rFonts w:hint="eastAsia" w:ascii="宋体" w:hAnsi="宋体"/>
          <w:sz w:val="24"/>
          <w:highlight w:val="none"/>
        </w:rPr>
        <w:t>日    期：</w:t>
      </w:r>
      <w:r>
        <w:rPr>
          <w:rFonts w:hint="eastAsia" w:ascii="宋体" w:hAnsi="宋体"/>
          <w:sz w:val="24"/>
          <w:highlight w:val="none"/>
          <w:u w:val="single"/>
        </w:rPr>
        <w:t xml:space="preserve">                     </w:t>
      </w:r>
      <w:r>
        <w:rPr>
          <w:rFonts w:hint="eastAsia" w:ascii="宋体" w:hAnsi="宋体"/>
          <w:sz w:val="24"/>
          <w:highlight w:val="none"/>
        </w:rPr>
        <w:t xml:space="preserve"> </w:t>
      </w:r>
    </w:p>
    <w:p w14:paraId="1DAA5272">
      <w:pPr>
        <w:pStyle w:val="4"/>
        <w:numPr>
          <w:ilvl w:val="0"/>
          <w:numId w:val="4"/>
        </w:numPr>
        <w:rPr>
          <w:rFonts w:hint="eastAsia" w:hAnsi="宋体"/>
          <w:sz w:val="28"/>
          <w:highlight w:val="none"/>
        </w:rPr>
      </w:pPr>
      <w:r>
        <w:rPr>
          <w:rFonts w:hAnsi="宋体"/>
          <w:sz w:val="24"/>
          <w:highlight w:val="none"/>
        </w:rPr>
        <w:br w:type="page"/>
      </w:r>
      <w:bookmarkStart w:id="20" w:name="_Toc273602356"/>
      <w:bookmarkStart w:id="21" w:name="_Toc10239"/>
      <w:bookmarkStart w:id="22" w:name="_Toc245714174"/>
      <w:bookmarkStart w:id="23" w:name="_Toc39733484"/>
      <w:r>
        <w:rPr>
          <w:rFonts w:hint="eastAsia" w:hAnsi="宋体"/>
          <w:sz w:val="28"/>
          <w:highlight w:val="none"/>
        </w:rPr>
        <w:t>投标授权书</w:t>
      </w:r>
      <w:bookmarkEnd w:id="20"/>
      <w:bookmarkEnd w:id="21"/>
      <w:bookmarkEnd w:id="22"/>
      <w:bookmarkEnd w:id="23"/>
    </w:p>
    <w:p w14:paraId="14010C03">
      <w:pPr>
        <w:rPr>
          <w:rFonts w:hint="eastAsia"/>
          <w:highlight w:val="none"/>
        </w:rPr>
      </w:pPr>
    </w:p>
    <w:p w14:paraId="1BAB2925">
      <w:pPr>
        <w:pStyle w:val="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本授权书声明：</w:t>
      </w:r>
      <w:r>
        <w:rPr>
          <w:rFonts w:hint="eastAsia" w:hAnsi="宋体"/>
          <w:sz w:val="24"/>
          <w:szCs w:val="28"/>
          <w:highlight w:val="none"/>
          <w:u w:val="single"/>
        </w:rPr>
        <w:t xml:space="preserve">    </w:t>
      </w:r>
      <w:r>
        <w:rPr>
          <w:rFonts w:hAnsi="宋体"/>
          <w:sz w:val="24"/>
          <w:szCs w:val="28"/>
          <w:highlight w:val="none"/>
          <w:u w:val="single"/>
        </w:rPr>
        <w:t xml:space="preserve">  </w:t>
      </w:r>
      <w:r>
        <w:rPr>
          <w:rFonts w:hint="eastAsia" w:hAnsi="宋体"/>
          <w:sz w:val="24"/>
          <w:szCs w:val="28"/>
          <w:highlight w:val="none"/>
          <w:u w:val="single"/>
        </w:rPr>
        <w:t xml:space="preserve">       </w:t>
      </w:r>
      <w:r>
        <w:rPr>
          <w:rFonts w:hint="eastAsia" w:hAnsi="宋体"/>
          <w:sz w:val="24"/>
          <w:szCs w:val="28"/>
          <w:highlight w:val="none"/>
        </w:rPr>
        <w:t>（投标单位）授权本公司</w:t>
      </w:r>
      <w:r>
        <w:rPr>
          <w:rFonts w:hint="eastAsia" w:hAnsi="宋体"/>
          <w:sz w:val="24"/>
          <w:szCs w:val="28"/>
          <w:highlight w:val="none"/>
          <w:u w:val="single"/>
        </w:rPr>
        <w:t xml:space="preserve">       </w:t>
      </w:r>
      <w:r>
        <w:rPr>
          <w:rFonts w:hint="eastAsia" w:hAnsi="宋体"/>
          <w:sz w:val="24"/>
          <w:szCs w:val="28"/>
          <w:highlight w:val="none"/>
        </w:rPr>
        <w:t>（投标人授权代表姓名、职务）代表本公司参加</w:t>
      </w:r>
      <w:r>
        <w:rPr>
          <w:rFonts w:hint="eastAsia" w:hAnsi="宋体"/>
          <w:sz w:val="24"/>
          <w:szCs w:val="28"/>
          <w:highlight w:val="none"/>
          <w:u w:val="single"/>
          <w:lang w:val="en-US" w:eastAsia="zh-CN"/>
        </w:rPr>
        <w:t xml:space="preserve">       </w:t>
      </w:r>
      <w:r>
        <w:rPr>
          <w:rFonts w:hint="eastAsia" w:hAnsi="宋体"/>
          <w:sz w:val="24"/>
          <w:szCs w:val="28"/>
          <w:highlight w:val="none"/>
        </w:rPr>
        <w:t>，全权代表本公司处理投标过程的一切事宜。投标人代表在投标过程中所签署的一切文件和处理与之有关的一切事务，本公司均予以认可并对此承担责任。投标人代表无转委托权。特此授权。</w:t>
      </w:r>
    </w:p>
    <w:p w14:paraId="6C1E8EC7">
      <w:pPr>
        <w:pStyle w:val="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本授权书自出具之日起生效。</w:t>
      </w:r>
    </w:p>
    <w:p w14:paraId="544E8241">
      <w:pPr>
        <w:spacing w:line="360" w:lineRule="auto"/>
        <w:rPr>
          <w:rFonts w:ascii="宋体" w:hAnsi="宋体"/>
          <w:sz w:val="24"/>
          <w:szCs w:val="28"/>
          <w:highlight w:val="none"/>
        </w:rPr>
      </w:pPr>
    </w:p>
    <w:p w14:paraId="1A88295C">
      <w:pPr>
        <w:adjustRightInd w:val="0"/>
        <w:snapToGrid w:val="0"/>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特此声明。</w:t>
      </w:r>
    </w:p>
    <w:p w14:paraId="1515C57B">
      <w:pPr>
        <w:spacing w:line="240" w:lineRule="auto"/>
        <w:ind w:firstLine="0"/>
        <w:rPr>
          <w:rFonts w:ascii="宋体" w:hAnsi="宋体"/>
          <w:sz w:val="24"/>
          <w:szCs w:val="28"/>
          <w:highlight w:val="none"/>
        </w:rPr>
      </w:pPr>
      <w:r>
        <w:rPr>
          <w:rFonts w:ascii="宋体" w:hAnsi="宋体"/>
          <w:sz w:val="24"/>
          <w:szCs w:val="28"/>
          <w:highlight w:val="none"/>
        </w:rPr>
        <mc:AlternateContent>
          <mc:Choice Requires="wps">
            <w:drawing>
              <wp:inline distT="0" distB="0" distL="114300" distR="114300">
                <wp:extent cx="2244725" cy="1709420"/>
                <wp:effectExtent l="4445" t="5080" r="17780" b="19050"/>
                <wp:docPr id="3" name="圆角矩形 3"/>
                <wp:cNvGraphicFramePr/>
                <a:graphic xmlns:a="http://schemas.openxmlformats.org/drawingml/2006/main">
                  <a:graphicData uri="http://schemas.microsoft.com/office/word/2010/wordprocessingShape">
                    <wps:wsp>
                      <wps:cNvSpPr>
                        <a:spLocks noRot="1"/>
                      </wps:cNvSpPr>
                      <wps:spPr>
                        <a:xfrm>
                          <a:off x="0" y="0"/>
                          <a:ext cx="2244725" cy="17094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BD68CA6">
                            <w:pPr>
                              <w:jc w:val="center"/>
                            </w:pPr>
                            <w:r>
                              <w:rPr>
                                <w:rFonts w:hint="eastAsia"/>
                              </w:rPr>
                              <w:t>授权代表身份证复印件正面</w:t>
                            </w:r>
                          </w:p>
                        </w:txbxContent>
                      </wps:txbx>
                      <wps:bodyPr upright="1"/>
                    </wps:wsp>
                  </a:graphicData>
                </a:graphic>
              </wp:inline>
            </w:drawing>
          </mc:Choice>
          <mc:Fallback>
            <w:pict>
              <v:roundrect id="_x0000_s1026" o:spid="_x0000_s1026" o:spt="2" style="height:134.6pt;width:176.75pt;" fillcolor="#FFFFFF" filled="t" stroked="t" coordsize="21600,21600" arcsize="0.166666666666667" o:gfxdata="UEsDBAoAAAAAAIdO4kAAAAAAAAAAAAAAAAAEAAAAZHJzL1BLAwQUAAAACACHTuJA+zOVTtMAAAAF&#10;AQAADwAAAGRycy9kb3ducmV2LnhtbE2PwU7DMBBE70j8g7WVuFG7qVLREKcHJLgiAgeOTrwkUeN1&#10;ajtp4etZuMBlpdGMZt6Wh4sbxYIhDp40bNYKBFLr7UCdhrfXx9s7EDEZsmb0hBo+McKhur4qTWH9&#10;mV5wqVMnuIRiYTT0KU2FlLHt0Zm49hMSex8+OJNYhk7aYM5c7kaZKbWTzgzEC72Z8KHH9ljPTkNr&#10;1azC+/K8b/JUfy3zieTTSeub1Ubdg0h4SX9h+MFndKiYqfEz2ShGDfxI+r3sbfNtDqLRkO32Gciq&#10;lP/pq29QSwMEFAAAAAgAh07iQHOSQH4uAgAAegQAAA4AAABkcnMvZTJvRG9jLnhtbK1UTY7TMBTe&#10;I3EHy3uaNNPpMFHTWVDKZgSjGTiAazuJwX+y3Sa9AAdgjYTEBnEIjjOCY/DsZko7sOiCLCw7fu/L&#10;92NndtUriTbceWF0hcejHCOuqWFCNxV+93b57DlGPhDNiDSaV3jLPb6aP30y62zJC9MaybhDAKJ9&#10;2dkKtyHYMss8bbkifmQs17BZG6dIgKVrMuZIB+hKZkWeT7POOGadodx7eLvYbeIB0Z0CaOpaUL4w&#10;dK24DjtUxyUJIMm3wno8T2zrmtPwpq49D0hWGJSGNMJHYL6KYzafkbJxxLaCDhTIKRQeaVJEaPjo&#10;HmpBAkFrJ/6CUoI6400dRtSobCckOQIqxvkjb+5aYnnSAlZ7uzfd/z9Y+npz45BgFT7DSBMFgd9/&#10;/vjr26efX77f//iKzqJDnfUlFN7ZGxc1entt6AePtLk1YOg4lmRHNXHhh+q+dip2gVbUJ+O3e+N5&#10;HxCFl0UxmVwU5xhR2Btf5JeTIkWTkfKh3TofXnGjUJxU2Jm1ZrcQb3KdbK59SPazQQRh7zGqlYQw&#10;N0Si8XQ6vUg8STkUA/YDZhJlpGBLIWVauGb1QjoErRVepmdo9odlUqOuwpfniTmBu1DDGQQRyoKf&#10;XjeJ21GHPwTO0/Mv4EhsQXy7I5AQYhkpW07YS81Q2FpISsMFxZGC4gwjyeE+x1mqDETIUyrBBqmH&#10;/HaRxfBCv+qH4FeGbeGIrK0TTXsUNxxJaDw684frBPrnlzH/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szlU7TAAAABQEAAA8AAAAAAAAAAQAgAAAAIgAAAGRycy9kb3ducmV2LnhtbFBLAQIUABQA&#10;AAAIAIdO4kBzkkB+LgIAAHoEAAAOAAAAAAAAAAEAIAAAACIBAABkcnMvZTJvRG9jLnhtbFBLBQYA&#10;AAAABgAGAFkBAADCBQAAAAA=&#10;">
                <v:fill on="t" focussize="0,0"/>
                <v:stroke color="#000000" joinstyle="round"/>
                <v:imagedata o:title=""/>
                <o:lock v:ext="edit" rotation="t" aspectratio="f"/>
                <v:textbox>
                  <w:txbxContent>
                    <w:p w14:paraId="1BD68CA6">
                      <w:pPr>
                        <w:jc w:val="center"/>
                      </w:pPr>
                      <w:r>
                        <w:rPr>
                          <w:rFonts w:hint="eastAsia"/>
                        </w:rPr>
                        <w:t>授权代表身份证复印件正面</w:t>
                      </w:r>
                    </w:p>
                  </w:txbxContent>
                </v:textbox>
                <w10:wrap type="none"/>
                <w10:anchorlock/>
              </v:roundrect>
            </w:pict>
          </mc:Fallback>
        </mc:AlternateContent>
      </w:r>
      <w:r>
        <w:rPr>
          <w:rFonts w:ascii="宋体" w:hAnsi="宋体"/>
          <w:sz w:val="24"/>
          <w:szCs w:val="28"/>
          <w:highlight w:val="none"/>
        </w:rPr>
        <mc:AlternateContent>
          <mc:Choice Requires="wps">
            <w:drawing>
              <wp:inline distT="0" distB="0" distL="114300" distR="114300">
                <wp:extent cx="2232025" cy="1680210"/>
                <wp:effectExtent l="5080" t="4445" r="10795" b="10795"/>
                <wp:docPr id="1" name="圆角矩形 1"/>
                <wp:cNvGraphicFramePr/>
                <a:graphic xmlns:a="http://schemas.openxmlformats.org/drawingml/2006/main">
                  <a:graphicData uri="http://schemas.microsoft.com/office/word/2010/wordprocessingShape">
                    <wps:wsp>
                      <wps:cNvSpPr>
                        <a:spLocks noRot="1"/>
                      </wps:cNvSpPr>
                      <wps:spPr>
                        <a:xfrm>
                          <a:off x="0" y="0"/>
                          <a:ext cx="2232025" cy="168021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7EC56E78">
                            <w:pPr>
                              <w:jc w:val="center"/>
                            </w:pPr>
                            <w:r>
                              <w:rPr>
                                <w:rFonts w:hint="eastAsia"/>
                              </w:rPr>
                              <w:t>授权代表身份证复印件反面</w:t>
                            </w:r>
                          </w:p>
                        </w:txbxContent>
                      </wps:txbx>
                      <wps:bodyPr upright="1"/>
                    </wps:wsp>
                  </a:graphicData>
                </a:graphic>
              </wp:inline>
            </w:drawing>
          </mc:Choice>
          <mc:Fallback>
            <w:pict>
              <v:roundrect id="_x0000_s1026" o:spid="_x0000_s1026" o:spt="2" style="height:132.3pt;width:175.75pt;" fillcolor="#FFFFFF" filled="t" stroked="t" coordsize="21600,21600" arcsize="0.166666666666667" o:gfxdata="UEsDBAoAAAAAAIdO4kAAAAAAAAAAAAAAAAAEAAAAZHJzL1BLAwQUAAAACACHTuJA/Iqj19MAAAAF&#10;AQAADwAAAGRycy9kb3ducmV2LnhtbE2PsU7EMBBEeyT+wVokOs7OQSIIca5AghYRrqB04iWJiNc5&#10;28kdfD0LDTQrjWY087bandwkVgxx9KQh2ygQSJ23I/Ua9q+PV7cgYjJkzeQJNXxihF19flaZ0voj&#10;veDapF5wCcXSaBhSmkspYzegM3HjZyT23n1wJrEMvbTBHLncTXKrVCGdGYkXBjPjw4DdR7M4DZ1V&#10;iwpv6/Ndm6fma10OJJ8OWl9eZOoeRMJT+gvDDz6jQ81MrV/IRjFp4EfS72XvOs9yEK2GbXFTgKwr&#10;+Z++/gZQSwMEFAAAAAgAh07iQDNSA8UvAgAAegQAAA4AAABkcnMvZTJvRG9jLnhtbK1UTY7TMBTe&#10;I3EHy3uaHzRliJrOglI2IxjNwAFc20kM/pPtNukFOABrJCQ2Iw7BcUZwDJ7dTKcdWHRBFtZz/L0v&#10;7/vec2YXg5Jow50XRte4mOQYcU0NE7qt8Yf3y2fnGPlANCPSaF7jLff4Yv70yay3FS9NZyTjDgGJ&#10;9lVva9yFYKss87TjiviJsVzDYWOcIgG2rs2YIz2wK5mVeT7NeuOYdYZy7+HtYneIR0Z3CqFpGkH5&#10;wtC14jrsWB2XJIAk3wnr8TxV2zSchndN43lAssagNKQVPgLxKq7ZfEaq1hHbCTqWQE4p4ZEmRYSG&#10;j+6pFiQQtHbiLyolqDPeNGFCjcp2QpIjoKLIH3lz0xHLkxaw2tu96f7/0dK3myuHBINJwEgTBQ2/&#10;+/r59+2XX99+3P38joroUG99BcAbe+WiRm8vDf3kkTbXBgxNkOwIEzd+RA+NUzELtKIhGb/dG8+H&#10;gCi8LMvnZV6eYUThrJie52WRWpOR6j7dOh/ecKNQDGrszFqza2hvcp1sLn1I9rNRBGEfMWqUhGZu&#10;iETFdDp9EaUA4wiG6J4ziTJSsKWQMm1cu3olHYLUGi/TMyb7Q5jUqK/xy7NUOYG70MAMgghlwU+v&#10;21TbUYY/JM7T8y/iWNiC+G5XQGKIMFJ1nLDXmqGwtdApDRcUxxIUZxhJDvc5RgkZiJCnIMEGqcGX&#10;h5bFKAyrYWz8yrAtjMjaOtF2R+2GkUyGjtcnzvzhPpE+/DLm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8iqPX0wAAAAUBAAAPAAAAAAAAAAEAIAAAACIAAABkcnMvZG93bnJldi54bWxQSwECFAAU&#10;AAAACACHTuJAM1IDxS8CAAB6BAAADgAAAAAAAAABACAAAAAiAQAAZHJzL2Uyb0RvYy54bWxQSwUG&#10;AAAAAAYABgBZAQAAwwUAAAAA&#10;">
                <v:fill on="t" focussize="0,0"/>
                <v:stroke color="#000000" joinstyle="round"/>
                <v:imagedata o:title=""/>
                <o:lock v:ext="edit" rotation="t" aspectratio="f"/>
                <v:textbox>
                  <w:txbxContent>
                    <w:p w14:paraId="7EC56E78">
                      <w:pPr>
                        <w:jc w:val="center"/>
                      </w:pPr>
                      <w:r>
                        <w:rPr>
                          <w:rFonts w:hint="eastAsia"/>
                        </w:rPr>
                        <w:t>授权代表身份证复印件反面</w:t>
                      </w:r>
                    </w:p>
                  </w:txbxContent>
                </v:textbox>
                <w10:wrap type="none"/>
                <w10:anchorlock/>
              </v:roundrect>
            </w:pict>
          </mc:Fallback>
        </mc:AlternateContent>
      </w:r>
    </w:p>
    <w:p w14:paraId="03BDD860">
      <w:pPr>
        <w:spacing w:line="360" w:lineRule="auto"/>
        <w:ind w:firstLine="645"/>
        <w:rPr>
          <w:rFonts w:hint="eastAsia" w:ascii="宋体" w:hAnsi="宋体"/>
          <w:sz w:val="24"/>
          <w:szCs w:val="28"/>
          <w:highlight w:val="none"/>
        </w:rPr>
      </w:pPr>
    </w:p>
    <w:p w14:paraId="20D4D938">
      <w:pPr>
        <w:adjustRightInd w:val="0"/>
        <w:snapToGrid w:val="0"/>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投标人授权代表</w:t>
      </w:r>
      <w:r>
        <w:rPr>
          <w:rFonts w:hint="eastAsia" w:ascii="宋体" w:hAnsi="宋体" w:eastAsia="宋体" w:cs="宋体"/>
          <w:b/>
          <w:sz w:val="24"/>
          <w:szCs w:val="28"/>
          <w:highlight w:val="none"/>
        </w:rPr>
        <w:t>（签字）</w:t>
      </w:r>
      <w:r>
        <w:rPr>
          <w:rFonts w:hint="eastAsia" w:ascii="宋体" w:hAnsi="宋体" w:eastAsia="宋体" w:cs="宋体"/>
          <w:sz w:val="24"/>
          <w:szCs w:val="28"/>
          <w:highlight w:val="none"/>
        </w:rPr>
        <w:t>：</w:t>
      </w:r>
      <w:r>
        <w:rPr>
          <w:rFonts w:hint="eastAsia" w:ascii="宋体" w:hAnsi="宋体" w:eastAsia="宋体" w:cs="宋体"/>
          <w:sz w:val="24"/>
          <w:szCs w:val="28"/>
          <w:highlight w:val="none"/>
          <w:u w:val="single"/>
        </w:rPr>
        <w:t xml:space="preserve">            </w:t>
      </w:r>
      <w:r>
        <w:rPr>
          <w:rFonts w:hint="eastAsia" w:ascii="宋体" w:hAnsi="宋体" w:eastAsia="宋体" w:cs="宋体"/>
          <w:sz w:val="24"/>
          <w:szCs w:val="28"/>
          <w:highlight w:val="none"/>
        </w:rPr>
        <w:t xml:space="preserve"> 性别：</w:t>
      </w:r>
      <w:r>
        <w:rPr>
          <w:rFonts w:hint="eastAsia" w:ascii="宋体" w:hAnsi="宋体" w:eastAsia="宋体" w:cs="宋体"/>
          <w:sz w:val="24"/>
          <w:szCs w:val="28"/>
          <w:highlight w:val="none"/>
          <w:u w:val="single"/>
        </w:rPr>
        <w:t xml:space="preserve">        </w:t>
      </w:r>
      <w:r>
        <w:rPr>
          <w:rFonts w:hint="eastAsia" w:ascii="宋体" w:hAnsi="宋体" w:eastAsia="宋体" w:cs="宋体"/>
          <w:sz w:val="24"/>
          <w:szCs w:val="28"/>
          <w:highlight w:val="none"/>
        </w:rPr>
        <w:t>身份证号：</w:t>
      </w:r>
      <w:r>
        <w:rPr>
          <w:rFonts w:hint="eastAsia" w:ascii="宋体" w:hAnsi="宋体" w:eastAsia="宋体" w:cs="宋体"/>
          <w:sz w:val="24"/>
          <w:szCs w:val="28"/>
          <w:highlight w:val="none"/>
          <w:u w:val="single"/>
        </w:rPr>
        <w:t xml:space="preserve">                  </w:t>
      </w:r>
    </w:p>
    <w:p w14:paraId="01EDE567">
      <w:pPr>
        <w:adjustRightInd w:val="0"/>
        <w:snapToGrid w:val="0"/>
        <w:spacing w:line="360" w:lineRule="auto"/>
        <w:ind w:firstLine="480" w:firstLineChars="200"/>
        <w:jc w:val="right"/>
        <w:rPr>
          <w:rFonts w:hint="eastAsia" w:ascii="宋体" w:hAnsi="宋体" w:eastAsia="宋体" w:cs="宋体"/>
          <w:sz w:val="24"/>
          <w:szCs w:val="28"/>
          <w:highlight w:val="none"/>
        </w:rPr>
      </w:pPr>
    </w:p>
    <w:p w14:paraId="548EF39B">
      <w:pPr>
        <w:wordWrap w:val="0"/>
        <w:adjustRightInd w:val="0"/>
        <w:snapToGrid w:val="0"/>
        <w:spacing w:line="360" w:lineRule="auto"/>
        <w:ind w:firstLine="482" w:firstLineChars="200"/>
        <w:jc w:val="right"/>
        <w:rPr>
          <w:rFonts w:hint="eastAsia" w:ascii="宋体" w:hAnsi="宋体" w:eastAsia="宋体" w:cs="宋体"/>
          <w:b/>
          <w:sz w:val="24"/>
          <w:szCs w:val="24"/>
          <w:highlight w:val="none"/>
        </w:rPr>
      </w:pPr>
    </w:p>
    <w:p w14:paraId="126477B0">
      <w:pPr>
        <w:wordWrap w:val="0"/>
        <w:adjustRightInd w:val="0"/>
        <w:snapToGrid w:val="0"/>
        <w:spacing w:line="360" w:lineRule="auto"/>
        <w:ind w:firstLine="480" w:firstLineChars="200"/>
        <w:jc w:val="righ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投标人（公章）：</w:t>
      </w:r>
      <w:r>
        <w:rPr>
          <w:rFonts w:hint="eastAsia" w:ascii="宋体" w:hAnsi="宋体" w:eastAsia="宋体" w:cs="宋体"/>
          <w:b w:val="0"/>
          <w:bCs/>
          <w:sz w:val="24"/>
          <w:szCs w:val="24"/>
          <w:highlight w:val="none"/>
          <w:lang w:val="en-US" w:eastAsia="zh-CN"/>
        </w:rPr>
        <w:t xml:space="preserve">                 </w:t>
      </w:r>
    </w:p>
    <w:p w14:paraId="31A30E33">
      <w:pPr>
        <w:adjustRightInd w:val="0"/>
        <w:snapToGrid w:val="0"/>
        <w:spacing w:line="360" w:lineRule="auto"/>
        <w:ind w:firstLine="480" w:firstLineChars="200"/>
        <w:jc w:val="righ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日期：</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年</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月</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日</w:t>
      </w:r>
    </w:p>
    <w:p w14:paraId="5906AAF8">
      <w:pPr>
        <w:pStyle w:val="8"/>
        <w:snapToGrid w:val="0"/>
        <w:spacing w:line="360" w:lineRule="auto"/>
        <w:ind w:firstLine="480" w:firstLineChars="200"/>
        <w:jc w:val="left"/>
        <w:rPr>
          <w:rFonts w:hint="eastAsia" w:ascii="宋体" w:hAnsi="宋体" w:eastAsia="宋体" w:cs="宋体"/>
          <w:sz w:val="24"/>
          <w:szCs w:val="28"/>
          <w:highlight w:val="none"/>
        </w:rPr>
      </w:pPr>
      <w:r>
        <w:rPr>
          <w:rFonts w:hint="eastAsia" w:ascii="宋体" w:hAnsi="宋体" w:eastAsia="宋体" w:cs="宋体"/>
          <w:sz w:val="24"/>
          <w:szCs w:val="28"/>
          <w:highlight w:val="none"/>
        </w:rPr>
        <w:t>注：</w:t>
      </w:r>
    </w:p>
    <w:p w14:paraId="2031867D">
      <w:pPr>
        <w:pStyle w:val="8"/>
        <w:snapToGrid w:val="0"/>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rPr>
        <w:t>本项目只允许有唯一的投标人授权代表，且必须为投标人在职员工并提供身份证复印件。</w:t>
      </w:r>
    </w:p>
    <w:p w14:paraId="3B2C7FB3">
      <w:pPr>
        <w:pStyle w:val="4"/>
        <w:rPr>
          <w:rFonts w:hint="eastAsia" w:hAnsi="宋体"/>
          <w:sz w:val="24"/>
          <w:szCs w:val="28"/>
          <w:highlight w:val="none"/>
        </w:rPr>
      </w:pPr>
      <w:r>
        <w:rPr>
          <w:rFonts w:hAnsi="宋体"/>
          <w:sz w:val="24"/>
          <w:szCs w:val="28"/>
          <w:highlight w:val="none"/>
        </w:rPr>
        <w:br w:type="page"/>
      </w:r>
      <w:bookmarkStart w:id="24" w:name="_Toc515390052"/>
      <w:r>
        <w:rPr>
          <w:rFonts w:hint="eastAsia" w:ascii="宋体" w:hAnsi="宋体" w:eastAsia="宋体" w:cs="Times New Roman"/>
          <w:sz w:val="28"/>
          <w:highlight w:val="none"/>
          <w:lang w:eastAsia="zh-CN"/>
        </w:rPr>
        <w:t>三</w:t>
      </w:r>
      <w:r>
        <w:rPr>
          <w:rFonts w:hint="eastAsia" w:ascii="宋体" w:hAnsi="宋体" w:eastAsia="宋体" w:cs="Times New Roman"/>
          <w:sz w:val="28"/>
          <w:highlight w:val="none"/>
          <w:lang w:val="en-US" w:eastAsia="zh-CN"/>
        </w:rPr>
        <w:t>、投标人信用承诺</w:t>
      </w:r>
      <w:bookmarkEnd w:id="24"/>
    </w:p>
    <w:p w14:paraId="4F407002">
      <w:pPr>
        <w:pStyle w:val="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一、我公司申明：</w:t>
      </w:r>
    </w:p>
    <w:p w14:paraId="2FC98C7E">
      <w:pPr>
        <w:pStyle w:val="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1.我公司未被人民法院列入失信被执行人；</w:t>
      </w:r>
    </w:p>
    <w:p w14:paraId="21CEDB26">
      <w:pPr>
        <w:pStyle w:val="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2.我公司和我公司法定代表人和我公司拟派项目经理（项目负责人）均未被人民检察院列入行贿犯罪档案；</w:t>
      </w:r>
    </w:p>
    <w:p w14:paraId="1F0BDF6E">
      <w:pPr>
        <w:pStyle w:val="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3.我公司未被工商行政管理部门列入企业经营异常名录；</w:t>
      </w:r>
    </w:p>
    <w:p w14:paraId="188F2ED3">
      <w:pPr>
        <w:pStyle w:val="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4.我公司未被税务部门列入重大税收违法案件当事人名单；</w:t>
      </w:r>
    </w:p>
    <w:p w14:paraId="4579C510">
      <w:pPr>
        <w:pStyle w:val="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5.我公司未被</w:t>
      </w:r>
      <w:r>
        <w:rPr>
          <w:rFonts w:hint="eastAsia" w:hAnsi="宋体"/>
          <w:sz w:val="24"/>
          <w:szCs w:val="28"/>
          <w:highlight w:val="none"/>
          <w:lang w:val="en-US" w:eastAsia="zh-CN"/>
        </w:rPr>
        <w:t>芜湖</w:t>
      </w:r>
      <w:r>
        <w:rPr>
          <w:rFonts w:hint="eastAsia" w:hAnsi="宋体"/>
          <w:sz w:val="24"/>
          <w:szCs w:val="28"/>
          <w:highlight w:val="none"/>
        </w:rPr>
        <w:t>市人社部门列入拖欠农民工工资黑名单；</w:t>
      </w:r>
    </w:p>
    <w:p w14:paraId="1D9247FB">
      <w:pPr>
        <w:pStyle w:val="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793DA76F">
      <w:pPr>
        <w:pStyle w:val="8"/>
        <w:snapToGrid w:val="0"/>
        <w:spacing w:line="480" w:lineRule="auto"/>
        <w:ind w:firstLine="480" w:firstLineChars="200"/>
        <w:jc w:val="left"/>
        <w:rPr>
          <w:rFonts w:hint="eastAsia" w:hAnsi="宋体"/>
          <w:sz w:val="24"/>
          <w:szCs w:val="28"/>
          <w:highlight w:val="none"/>
        </w:rPr>
      </w:pPr>
    </w:p>
    <w:p w14:paraId="314D3923">
      <w:pPr>
        <w:pStyle w:val="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我公司对以上承诺的真实性承担责任。</w:t>
      </w:r>
    </w:p>
    <w:p w14:paraId="26427031">
      <w:pPr>
        <w:pStyle w:val="8"/>
        <w:snapToGrid w:val="0"/>
        <w:spacing w:line="480" w:lineRule="auto"/>
        <w:ind w:firstLine="480" w:firstLineChars="200"/>
        <w:jc w:val="left"/>
        <w:rPr>
          <w:rFonts w:hint="eastAsia" w:hAnsi="宋体"/>
          <w:sz w:val="24"/>
          <w:szCs w:val="28"/>
          <w:highlight w:val="none"/>
        </w:rPr>
      </w:pPr>
    </w:p>
    <w:p w14:paraId="21173BBA">
      <w:pPr>
        <w:pStyle w:val="8"/>
        <w:snapToGrid w:val="0"/>
        <w:spacing w:line="480" w:lineRule="auto"/>
        <w:ind w:firstLine="480" w:firstLineChars="200"/>
        <w:jc w:val="left"/>
        <w:rPr>
          <w:rFonts w:hint="eastAsia" w:hAnsi="宋体"/>
          <w:sz w:val="24"/>
          <w:szCs w:val="28"/>
          <w:highlight w:val="none"/>
        </w:rPr>
      </w:pPr>
    </w:p>
    <w:p w14:paraId="11114C73">
      <w:pPr>
        <w:pStyle w:val="8"/>
        <w:snapToGrid w:val="0"/>
        <w:spacing w:line="480" w:lineRule="auto"/>
        <w:ind w:firstLine="480" w:firstLineChars="200"/>
        <w:jc w:val="center"/>
        <w:rPr>
          <w:rFonts w:hAnsi="宋体"/>
          <w:sz w:val="24"/>
          <w:szCs w:val="28"/>
          <w:highlight w:val="none"/>
          <w:lang w:val="en-US" w:eastAsia="zh-CN"/>
        </w:rPr>
      </w:pPr>
      <w:r>
        <w:rPr>
          <w:rFonts w:hint="eastAsia" w:hAnsi="宋体"/>
          <w:sz w:val="24"/>
          <w:szCs w:val="28"/>
          <w:highlight w:val="none"/>
          <w:lang w:val="en-US" w:eastAsia="zh-CN"/>
        </w:rPr>
        <w:t xml:space="preserve">                          </w:t>
      </w:r>
      <w:r>
        <w:rPr>
          <w:rFonts w:hint="eastAsia" w:hAnsi="宋体"/>
          <w:sz w:val="24"/>
          <w:szCs w:val="28"/>
          <w:highlight w:val="none"/>
        </w:rPr>
        <w:t>投标人（公章）：</w:t>
      </w:r>
      <w:r>
        <w:rPr>
          <w:rFonts w:hint="eastAsia" w:hAnsi="宋体"/>
          <w:sz w:val="24"/>
          <w:szCs w:val="28"/>
          <w:highlight w:val="none"/>
          <w:lang w:val="en-US" w:eastAsia="zh-CN"/>
        </w:rPr>
        <w:t xml:space="preserve">             </w:t>
      </w:r>
    </w:p>
    <w:p w14:paraId="4BD6B0ED">
      <w:pPr>
        <w:pStyle w:val="8"/>
        <w:snapToGrid w:val="0"/>
        <w:spacing w:line="480" w:lineRule="auto"/>
        <w:ind w:firstLine="480" w:firstLineChars="200"/>
        <w:jc w:val="right"/>
        <w:rPr>
          <w:rFonts w:hint="eastAsia" w:hAnsi="宋体"/>
          <w:sz w:val="24"/>
          <w:szCs w:val="28"/>
          <w:highlight w:val="none"/>
        </w:rPr>
      </w:pPr>
      <w:r>
        <w:rPr>
          <w:rFonts w:hint="eastAsia" w:hAnsi="宋体"/>
          <w:sz w:val="24"/>
          <w:szCs w:val="28"/>
          <w:highlight w:val="none"/>
        </w:rPr>
        <w:t>日  期：      年    月     日</w:t>
      </w:r>
    </w:p>
    <w:p w14:paraId="1934D85C">
      <w:pPr>
        <w:adjustRightInd w:val="0"/>
        <w:snapToGrid w:val="0"/>
        <w:spacing w:line="360" w:lineRule="auto"/>
        <w:rPr>
          <w:rFonts w:ascii="宋体" w:hAnsi="宋体"/>
          <w:b/>
          <w:bCs/>
          <w:sz w:val="24"/>
          <w:szCs w:val="28"/>
          <w:highlight w:val="none"/>
        </w:rPr>
      </w:pPr>
    </w:p>
    <w:p w14:paraId="07F71715">
      <w:pPr>
        <w:spacing w:line="500" w:lineRule="exact"/>
        <w:jc w:val="center"/>
        <w:rPr>
          <w:rFonts w:ascii="宋体" w:hAnsi="宋体"/>
          <w:b/>
          <w:bCs/>
          <w:sz w:val="24"/>
          <w:szCs w:val="24"/>
          <w:highlight w:val="none"/>
        </w:rPr>
      </w:pPr>
      <w:r>
        <w:rPr>
          <w:rFonts w:ascii="宋体" w:hAnsi="宋体"/>
          <w:b/>
          <w:bCs/>
          <w:sz w:val="24"/>
          <w:szCs w:val="24"/>
          <w:highlight w:val="none"/>
        </w:rPr>
        <w:br w:type="page"/>
      </w:r>
    </w:p>
    <w:p w14:paraId="156AD1AF">
      <w:pPr>
        <w:pStyle w:val="4"/>
        <w:rPr>
          <w:rFonts w:hint="eastAsia"/>
          <w:highlight w:val="none"/>
        </w:rPr>
      </w:pPr>
      <w:r>
        <w:rPr>
          <w:rFonts w:hint="eastAsia" w:ascii="宋体" w:hAnsi="宋体" w:eastAsia="宋体" w:cs="Times New Roman"/>
          <w:sz w:val="28"/>
          <w:highlight w:val="none"/>
        </w:rPr>
        <w:t>四、资格审查资料</w:t>
      </w:r>
    </w:p>
    <w:p w14:paraId="0723034F">
      <w:pPr>
        <w:numPr>
          <w:ilvl w:val="0"/>
          <w:numId w:val="5"/>
        </w:numPr>
        <w:spacing w:line="500" w:lineRule="exact"/>
        <w:rPr>
          <w:rFonts w:hint="eastAsia" w:ascii="宋体" w:hAnsi="宋体"/>
          <w:sz w:val="24"/>
          <w:szCs w:val="24"/>
          <w:highlight w:val="none"/>
        </w:rPr>
      </w:pPr>
      <w:r>
        <w:rPr>
          <w:rFonts w:hint="eastAsia" w:ascii="宋体" w:hAnsi="宋体"/>
          <w:sz w:val="24"/>
          <w:szCs w:val="24"/>
          <w:highlight w:val="none"/>
        </w:rPr>
        <w:t>营业执照、过往案例等相关证明材料包含但不限于公告中资格要求以及评标办法中初步评审涉及的相关证明材料复印件；</w:t>
      </w:r>
    </w:p>
    <w:p w14:paraId="3C414753">
      <w:pPr>
        <w:pStyle w:val="13"/>
        <w:rPr>
          <w:rFonts w:hint="eastAsia"/>
          <w:highlight w:val="none"/>
        </w:rPr>
      </w:pPr>
    </w:p>
    <w:p w14:paraId="298A70BB">
      <w:pPr>
        <w:pStyle w:val="13"/>
        <w:ind w:left="0"/>
        <w:rPr>
          <w:rFonts w:ascii="宋体" w:hAnsi="宋体" w:eastAsia="宋体"/>
          <w:sz w:val="24"/>
          <w:szCs w:val="24"/>
          <w:highlight w:val="none"/>
        </w:rPr>
      </w:pPr>
      <w:r>
        <w:rPr>
          <w:rFonts w:hint="eastAsia" w:ascii="宋体" w:hAnsi="宋体" w:eastAsia="宋体"/>
          <w:sz w:val="24"/>
          <w:szCs w:val="24"/>
          <w:highlight w:val="none"/>
        </w:rPr>
        <w:t>2.招标文件要求的其他资格证明文件。</w:t>
      </w:r>
    </w:p>
    <w:p w14:paraId="1FE87CC6">
      <w:pPr>
        <w:spacing w:line="500" w:lineRule="exact"/>
        <w:jc w:val="center"/>
        <w:rPr>
          <w:rFonts w:ascii="宋体" w:hAnsi="宋体"/>
          <w:b/>
          <w:bCs/>
          <w:sz w:val="24"/>
          <w:szCs w:val="24"/>
          <w:highlight w:val="none"/>
        </w:rPr>
      </w:pPr>
    </w:p>
    <w:p w14:paraId="64D80959">
      <w:pPr>
        <w:pStyle w:val="4"/>
        <w:rPr>
          <w:rFonts w:hint="eastAsia" w:hAnsi="宋体"/>
          <w:sz w:val="28"/>
          <w:highlight w:val="none"/>
        </w:rPr>
      </w:pPr>
      <w:r>
        <w:rPr>
          <w:rFonts w:hAnsi="宋体"/>
          <w:sz w:val="28"/>
          <w:highlight w:val="none"/>
        </w:rPr>
        <w:br w:type="page"/>
      </w:r>
      <w:bookmarkStart w:id="25" w:name="_Toc25916"/>
      <w:r>
        <w:rPr>
          <w:rFonts w:hint="eastAsia" w:hAnsi="宋体"/>
          <w:sz w:val="28"/>
          <w:highlight w:val="none"/>
        </w:rPr>
        <w:t>五、</w:t>
      </w:r>
      <w:bookmarkEnd w:id="25"/>
      <w:r>
        <w:rPr>
          <w:rFonts w:hint="eastAsia" w:hAnsi="宋体"/>
          <w:sz w:val="28"/>
          <w:highlight w:val="none"/>
        </w:rPr>
        <w:t>业绩证明</w:t>
      </w:r>
    </w:p>
    <w:p w14:paraId="503FF36E">
      <w:pPr>
        <w:spacing w:line="500" w:lineRule="exact"/>
        <w:jc w:val="center"/>
        <w:rPr>
          <w:rFonts w:hAnsi="宋体"/>
          <w:sz w:val="28"/>
          <w:highlight w:val="none"/>
        </w:rPr>
      </w:pPr>
    </w:p>
    <w:p w14:paraId="140437FC">
      <w:pPr>
        <w:spacing w:line="500" w:lineRule="exact"/>
        <w:jc w:val="center"/>
        <w:rPr>
          <w:rFonts w:hAnsi="宋体"/>
          <w:sz w:val="28"/>
          <w:highlight w:val="none"/>
        </w:rPr>
      </w:pPr>
    </w:p>
    <w:p w14:paraId="277C09A4">
      <w:pPr>
        <w:spacing w:line="500" w:lineRule="exact"/>
        <w:jc w:val="center"/>
        <w:rPr>
          <w:rFonts w:hAnsi="宋体"/>
          <w:sz w:val="28"/>
          <w:highlight w:val="none"/>
        </w:rPr>
      </w:pPr>
    </w:p>
    <w:p w14:paraId="2A867F41">
      <w:pPr>
        <w:spacing w:line="500" w:lineRule="exact"/>
        <w:jc w:val="center"/>
        <w:rPr>
          <w:rFonts w:hint="eastAsia" w:ascii="宋体" w:hAnsi="宋体"/>
          <w:sz w:val="28"/>
          <w:highlight w:val="none"/>
        </w:rPr>
      </w:pPr>
    </w:p>
    <w:p w14:paraId="4D3369CF">
      <w:pPr>
        <w:pStyle w:val="4"/>
        <w:numPr>
          <w:ilvl w:val="0"/>
          <w:numId w:val="6"/>
        </w:numPr>
        <w:rPr>
          <w:rFonts w:hint="eastAsia" w:hAnsi="宋体"/>
          <w:sz w:val="28"/>
          <w:highlight w:val="none"/>
        </w:rPr>
      </w:pPr>
      <w:r>
        <w:rPr>
          <w:rFonts w:ascii="仿宋_GB2312" w:eastAsia="仿宋_GB2312"/>
          <w:b w:val="0"/>
          <w:sz w:val="28"/>
          <w:szCs w:val="28"/>
          <w:highlight w:val="none"/>
        </w:rPr>
        <w:br w:type="page"/>
      </w:r>
      <w:bookmarkStart w:id="26" w:name="_Toc11208"/>
      <w:r>
        <w:rPr>
          <w:rFonts w:hint="eastAsia" w:ascii="Times New Roman" w:hAnsi="宋体" w:eastAsia="宋体" w:cs="Times New Roman"/>
          <w:b/>
          <w:sz w:val="28"/>
          <w:highlight w:val="none"/>
          <w:lang w:val="en-US" w:eastAsia="zh-CN"/>
        </w:rPr>
        <w:t>施工</w:t>
      </w:r>
      <w:r>
        <w:rPr>
          <w:rFonts w:hint="eastAsia" w:hAnsi="宋体"/>
          <w:sz w:val="28"/>
          <w:highlight w:val="none"/>
        </w:rPr>
        <w:t>方案</w:t>
      </w:r>
      <w:r>
        <w:rPr>
          <w:rFonts w:hint="eastAsia" w:hAnsi="宋体"/>
          <w:sz w:val="28"/>
          <w:highlight w:val="none"/>
          <w:lang w:val="en-US" w:eastAsia="zh-CN"/>
        </w:rPr>
        <w:t>及质量安全管理体系</w:t>
      </w:r>
    </w:p>
    <w:p w14:paraId="3B6ECF71">
      <w:pPr>
        <w:rPr>
          <w:rFonts w:hint="eastAsia"/>
          <w:highlight w:val="none"/>
        </w:rPr>
      </w:pPr>
    </w:p>
    <w:bookmarkEnd w:id="26"/>
    <w:p w14:paraId="7DDFE459">
      <w:pPr>
        <w:pStyle w:val="4"/>
        <w:rPr>
          <w:rFonts w:hint="eastAsia" w:hAnsi="宋体"/>
          <w:sz w:val="28"/>
          <w:highlight w:val="none"/>
        </w:rPr>
      </w:pPr>
      <w:r>
        <w:rPr>
          <w:highlight w:val="none"/>
        </w:rPr>
        <w:br w:type="page"/>
      </w:r>
      <w:bookmarkEnd w:id="14"/>
      <w:bookmarkEnd w:id="15"/>
      <w:r>
        <w:rPr>
          <w:rFonts w:hint="eastAsia" w:hAnsi="宋体"/>
          <w:sz w:val="28"/>
          <w:highlight w:val="none"/>
        </w:rPr>
        <w:t>七、其他有关证明文件</w:t>
      </w:r>
    </w:p>
    <w:p w14:paraId="246711C3">
      <w:pPr>
        <w:spacing w:line="360" w:lineRule="auto"/>
        <w:rPr>
          <w:rFonts w:hint="eastAsia" w:ascii="宋体" w:hAnsi="宋体"/>
          <w:b/>
          <w:sz w:val="24"/>
          <w:highlight w:val="none"/>
        </w:rPr>
      </w:pPr>
    </w:p>
    <w:p w14:paraId="79816521">
      <w:pPr>
        <w:tabs>
          <w:tab w:val="left" w:pos="4620"/>
        </w:tabs>
        <w:spacing w:line="360" w:lineRule="auto"/>
        <w:ind w:firstLine="480" w:firstLineChars="200"/>
        <w:rPr>
          <w:rFonts w:hint="eastAsia" w:ascii="宋体" w:hAnsi="宋体"/>
          <w:bCs/>
          <w:sz w:val="24"/>
          <w:szCs w:val="24"/>
          <w:highlight w:val="none"/>
        </w:rPr>
      </w:pPr>
    </w:p>
    <w:p w14:paraId="45F6D496">
      <w:pPr>
        <w:tabs>
          <w:tab w:val="left" w:pos="4620"/>
        </w:tabs>
        <w:spacing w:line="360" w:lineRule="auto"/>
        <w:rPr>
          <w:rFonts w:hint="eastAsia" w:ascii="宋体" w:hAnsi="宋体"/>
          <w:sz w:val="24"/>
          <w:highlight w:val="none"/>
        </w:rPr>
      </w:pPr>
    </w:p>
    <w:p w14:paraId="015D5FBE">
      <w:pPr>
        <w:tabs>
          <w:tab w:val="left" w:pos="4620"/>
        </w:tabs>
        <w:spacing w:line="360" w:lineRule="auto"/>
        <w:ind w:firstLine="480" w:firstLineChars="200"/>
        <w:rPr>
          <w:rFonts w:hint="eastAsia" w:ascii="宋体" w:hAnsi="宋体"/>
          <w:bCs/>
          <w:sz w:val="24"/>
          <w:szCs w:val="24"/>
          <w:highlight w:val="none"/>
        </w:rPr>
      </w:pPr>
    </w:p>
    <w:p w14:paraId="7C73F7FD">
      <w:pPr>
        <w:pStyle w:val="13"/>
        <w:rPr>
          <w:rFonts w:hint="eastAsia" w:ascii="宋体" w:hAnsi="宋体"/>
          <w:bCs/>
          <w:sz w:val="24"/>
          <w:szCs w:val="24"/>
          <w:highlight w:val="none"/>
        </w:rPr>
      </w:pPr>
    </w:p>
    <w:p w14:paraId="242B857F">
      <w:pPr>
        <w:pStyle w:val="13"/>
        <w:rPr>
          <w:rFonts w:hint="eastAsia" w:ascii="宋体" w:hAnsi="宋体"/>
          <w:bCs/>
          <w:sz w:val="24"/>
          <w:szCs w:val="24"/>
          <w:highlight w:val="none"/>
        </w:rPr>
      </w:pPr>
    </w:p>
    <w:p w14:paraId="268F36DE">
      <w:pPr>
        <w:pStyle w:val="13"/>
        <w:rPr>
          <w:rFonts w:hint="eastAsia" w:ascii="宋体" w:hAnsi="宋体"/>
          <w:bCs/>
          <w:sz w:val="24"/>
          <w:szCs w:val="24"/>
          <w:highlight w:val="none"/>
        </w:rPr>
      </w:pPr>
    </w:p>
    <w:p w14:paraId="23B9830C">
      <w:pPr>
        <w:pStyle w:val="13"/>
        <w:rPr>
          <w:rFonts w:hint="eastAsia" w:ascii="宋体" w:hAnsi="宋体"/>
          <w:bCs/>
          <w:sz w:val="24"/>
          <w:szCs w:val="24"/>
          <w:highlight w:val="none"/>
        </w:rPr>
      </w:pPr>
    </w:p>
    <w:p w14:paraId="5ADEC842">
      <w:pPr>
        <w:pStyle w:val="13"/>
        <w:rPr>
          <w:rFonts w:hint="eastAsia" w:ascii="宋体" w:hAnsi="宋体"/>
          <w:bCs/>
          <w:sz w:val="24"/>
          <w:szCs w:val="24"/>
          <w:highlight w:val="none"/>
        </w:rPr>
      </w:pPr>
    </w:p>
    <w:p w14:paraId="7A27B8F6">
      <w:pPr>
        <w:pStyle w:val="13"/>
        <w:rPr>
          <w:rFonts w:hint="eastAsia" w:ascii="宋体" w:hAnsi="宋体"/>
          <w:bCs/>
          <w:sz w:val="24"/>
          <w:szCs w:val="24"/>
          <w:highlight w:val="none"/>
        </w:rPr>
      </w:pPr>
    </w:p>
    <w:p w14:paraId="00AEE657">
      <w:pPr>
        <w:pStyle w:val="13"/>
        <w:rPr>
          <w:rFonts w:hint="eastAsia" w:ascii="宋体" w:hAnsi="宋体"/>
          <w:bCs/>
          <w:sz w:val="24"/>
          <w:szCs w:val="24"/>
          <w:highlight w:val="none"/>
        </w:rPr>
      </w:pPr>
    </w:p>
    <w:p w14:paraId="1FBF7461">
      <w:pPr>
        <w:pStyle w:val="13"/>
        <w:rPr>
          <w:rFonts w:hint="eastAsia" w:ascii="宋体" w:hAnsi="宋体"/>
          <w:bCs/>
          <w:sz w:val="24"/>
          <w:szCs w:val="24"/>
          <w:highlight w:val="none"/>
        </w:rPr>
      </w:pPr>
    </w:p>
    <w:p w14:paraId="0EE56727">
      <w:pPr>
        <w:pStyle w:val="13"/>
        <w:rPr>
          <w:rFonts w:hint="eastAsia" w:ascii="宋体" w:hAnsi="宋体"/>
          <w:bCs/>
          <w:sz w:val="24"/>
          <w:szCs w:val="24"/>
          <w:highlight w:val="none"/>
        </w:rPr>
      </w:pPr>
    </w:p>
    <w:p w14:paraId="6C6D7BE6">
      <w:pPr>
        <w:pStyle w:val="13"/>
        <w:rPr>
          <w:rFonts w:hint="eastAsia" w:ascii="宋体" w:hAnsi="宋体"/>
          <w:bCs/>
          <w:sz w:val="24"/>
          <w:szCs w:val="24"/>
          <w:highlight w:val="none"/>
        </w:rPr>
      </w:pPr>
    </w:p>
    <w:p w14:paraId="047A8092">
      <w:pPr>
        <w:pStyle w:val="13"/>
        <w:rPr>
          <w:rFonts w:hint="eastAsia" w:ascii="宋体" w:hAnsi="宋体"/>
          <w:bCs/>
          <w:sz w:val="24"/>
          <w:szCs w:val="24"/>
          <w:highlight w:val="none"/>
        </w:rPr>
      </w:pPr>
    </w:p>
    <w:p w14:paraId="5FADAB60">
      <w:pPr>
        <w:pStyle w:val="13"/>
        <w:rPr>
          <w:rFonts w:hint="eastAsia" w:ascii="宋体" w:hAnsi="宋体"/>
          <w:bCs/>
          <w:sz w:val="24"/>
          <w:szCs w:val="24"/>
          <w:highlight w:val="none"/>
        </w:rPr>
      </w:pPr>
    </w:p>
    <w:p w14:paraId="384C5F40">
      <w:pPr>
        <w:pStyle w:val="13"/>
        <w:rPr>
          <w:rFonts w:hint="eastAsia" w:ascii="宋体" w:hAnsi="宋体"/>
          <w:bCs/>
          <w:sz w:val="24"/>
          <w:szCs w:val="24"/>
          <w:highlight w:val="none"/>
        </w:rPr>
      </w:pPr>
    </w:p>
    <w:p w14:paraId="3ADCA930">
      <w:pPr>
        <w:pStyle w:val="13"/>
        <w:rPr>
          <w:rFonts w:hint="eastAsia" w:ascii="宋体" w:hAnsi="宋体"/>
          <w:bCs/>
          <w:sz w:val="24"/>
          <w:szCs w:val="24"/>
          <w:highlight w:val="none"/>
        </w:rPr>
      </w:pPr>
    </w:p>
    <w:p w14:paraId="592E20FD">
      <w:pPr>
        <w:pStyle w:val="13"/>
        <w:rPr>
          <w:rFonts w:hint="eastAsia" w:ascii="宋体" w:hAnsi="宋体"/>
          <w:bCs/>
          <w:sz w:val="24"/>
          <w:szCs w:val="24"/>
          <w:highlight w:val="none"/>
        </w:rPr>
      </w:pPr>
    </w:p>
    <w:p w14:paraId="38977BF2">
      <w:pPr>
        <w:pStyle w:val="13"/>
        <w:rPr>
          <w:rFonts w:hint="eastAsia" w:ascii="宋体" w:hAnsi="宋体"/>
          <w:bCs/>
          <w:sz w:val="24"/>
          <w:szCs w:val="24"/>
          <w:highlight w:val="none"/>
        </w:rPr>
      </w:pPr>
    </w:p>
    <w:p w14:paraId="47432AAF">
      <w:pPr>
        <w:pStyle w:val="13"/>
        <w:rPr>
          <w:rFonts w:hint="eastAsia" w:ascii="宋体" w:hAnsi="宋体"/>
          <w:bCs/>
          <w:sz w:val="24"/>
          <w:szCs w:val="24"/>
          <w:highlight w:val="none"/>
        </w:rPr>
      </w:pPr>
    </w:p>
    <w:p w14:paraId="2B0EED44">
      <w:pPr>
        <w:pStyle w:val="13"/>
        <w:rPr>
          <w:rFonts w:hint="eastAsia" w:ascii="宋体" w:hAnsi="宋体"/>
          <w:bCs/>
          <w:sz w:val="24"/>
          <w:szCs w:val="24"/>
          <w:highlight w:val="none"/>
        </w:rPr>
      </w:pPr>
    </w:p>
    <w:p w14:paraId="6224AB43">
      <w:pPr>
        <w:pStyle w:val="13"/>
        <w:rPr>
          <w:rFonts w:hint="eastAsia" w:ascii="宋体" w:hAnsi="宋体"/>
          <w:bCs/>
          <w:sz w:val="24"/>
          <w:szCs w:val="24"/>
          <w:highlight w:val="none"/>
        </w:rPr>
      </w:pPr>
    </w:p>
    <w:p w14:paraId="7383BDB6">
      <w:pPr>
        <w:pStyle w:val="13"/>
        <w:rPr>
          <w:rFonts w:hint="eastAsia" w:ascii="宋体" w:hAnsi="宋体"/>
          <w:bCs/>
          <w:sz w:val="24"/>
          <w:szCs w:val="24"/>
          <w:highlight w:val="none"/>
        </w:rPr>
      </w:pPr>
    </w:p>
    <w:p w14:paraId="04968347">
      <w:pPr>
        <w:pStyle w:val="13"/>
        <w:rPr>
          <w:rFonts w:hint="eastAsia" w:ascii="宋体" w:hAnsi="宋体"/>
          <w:bCs/>
          <w:sz w:val="24"/>
          <w:szCs w:val="24"/>
          <w:highlight w:val="none"/>
        </w:rPr>
      </w:pPr>
    </w:p>
    <w:p w14:paraId="2910AAF8">
      <w:pPr>
        <w:pStyle w:val="13"/>
        <w:rPr>
          <w:rFonts w:hint="eastAsia" w:ascii="宋体" w:hAnsi="宋体"/>
          <w:bCs/>
          <w:sz w:val="24"/>
          <w:szCs w:val="24"/>
          <w:highlight w:val="none"/>
        </w:rPr>
      </w:pPr>
    </w:p>
    <w:p w14:paraId="6C695338">
      <w:pPr>
        <w:pStyle w:val="13"/>
        <w:rPr>
          <w:rFonts w:hint="eastAsia" w:ascii="宋体" w:hAnsi="宋体"/>
          <w:bCs/>
          <w:sz w:val="24"/>
          <w:szCs w:val="24"/>
          <w:highlight w:val="none"/>
        </w:rPr>
      </w:pPr>
    </w:p>
    <w:p w14:paraId="3ED07C8F">
      <w:pPr>
        <w:pStyle w:val="13"/>
        <w:rPr>
          <w:rFonts w:hint="eastAsia" w:ascii="宋体" w:hAnsi="宋体"/>
          <w:bCs/>
          <w:sz w:val="24"/>
          <w:szCs w:val="24"/>
          <w:highlight w:val="none"/>
        </w:rPr>
      </w:pPr>
    </w:p>
    <w:p w14:paraId="1B52D34D">
      <w:pPr>
        <w:pStyle w:val="3"/>
        <w:rPr>
          <w:rFonts w:hint="eastAsia" w:eastAsia="黑体"/>
          <w:highlight w:val="none"/>
          <w:lang w:eastAsia="zh-CN"/>
        </w:rPr>
      </w:pPr>
      <w:r>
        <w:rPr>
          <w:rFonts w:hint="eastAsia"/>
          <w:b/>
          <w:bCs/>
          <w:sz w:val="56"/>
          <w:szCs w:val="56"/>
          <w:highlight w:val="none"/>
          <w:lang w:eastAsia="zh-CN"/>
        </w:rPr>
        <w:t>（</w:t>
      </w:r>
      <w:r>
        <w:rPr>
          <w:rFonts w:hint="eastAsia"/>
          <w:b/>
          <w:bCs/>
          <w:sz w:val="56"/>
          <w:szCs w:val="56"/>
          <w:highlight w:val="none"/>
          <w:lang w:val="en-US" w:eastAsia="zh-CN"/>
        </w:rPr>
        <w:t>项目名称</w:t>
      </w:r>
      <w:r>
        <w:rPr>
          <w:rFonts w:hint="eastAsia"/>
          <w:b/>
          <w:bCs/>
          <w:sz w:val="56"/>
          <w:szCs w:val="56"/>
          <w:highlight w:val="none"/>
          <w:lang w:eastAsia="zh-CN"/>
        </w:rPr>
        <w:t>）</w:t>
      </w:r>
    </w:p>
    <w:p w14:paraId="122EF7DA">
      <w:pPr>
        <w:spacing w:line="900" w:lineRule="exact"/>
        <w:jc w:val="center"/>
        <w:rPr>
          <w:rFonts w:hint="eastAsia" w:ascii="宋体" w:hAnsi="宋体"/>
          <w:b/>
          <w:sz w:val="56"/>
          <w:szCs w:val="18"/>
          <w:highlight w:val="none"/>
        </w:rPr>
      </w:pPr>
      <w:r>
        <w:rPr>
          <w:rFonts w:hint="eastAsia" w:ascii="宋体" w:hAnsi="宋体"/>
          <w:b/>
          <w:sz w:val="56"/>
          <w:szCs w:val="18"/>
          <w:highlight w:val="none"/>
        </w:rPr>
        <w:t>报</w:t>
      </w:r>
    </w:p>
    <w:p w14:paraId="4D104003">
      <w:pPr>
        <w:spacing w:line="900" w:lineRule="exact"/>
        <w:jc w:val="center"/>
        <w:rPr>
          <w:rFonts w:hint="eastAsia" w:ascii="宋体" w:hAnsi="宋体"/>
          <w:b/>
          <w:sz w:val="56"/>
          <w:szCs w:val="18"/>
          <w:highlight w:val="none"/>
        </w:rPr>
      </w:pPr>
      <w:r>
        <w:rPr>
          <w:rFonts w:hint="eastAsia" w:ascii="宋体" w:hAnsi="宋体"/>
          <w:b/>
          <w:sz w:val="56"/>
          <w:szCs w:val="18"/>
          <w:highlight w:val="none"/>
        </w:rPr>
        <w:t>价</w:t>
      </w:r>
    </w:p>
    <w:p w14:paraId="27938C62">
      <w:pPr>
        <w:spacing w:line="900" w:lineRule="exact"/>
        <w:jc w:val="center"/>
        <w:rPr>
          <w:rFonts w:hint="eastAsia" w:ascii="宋体" w:hAnsi="宋体"/>
          <w:b/>
          <w:sz w:val="56"/>
          <w:szCs w:val="18"/>
          <w:highlight w:val="none"/>
        </w:rPr>
      </w:pPr>
      <w:r>
        <w:rPr>
          <w:rFonts w:hint="eastAsia" w:ascii="宋体" w:hAnsi="宋体"/>
          <w:b/>
          <w:sz w:val="56"/>
          <w:szCs w:val="18"/>
          <w:highlight w:val="none"/>
        </w:rPr>
        <w:t>文</w:t>
      </w:r>
    </w:p>
    <w:p w14:paraId="7FB96553">
      <w:pPr>
        <w:jc w:val="center"/>
        <w:rPr>
          <w:rFonts w:hint="eastAsia" w:ascii="宋体" w:hAnsi="宋体"/>
          <w:b/>
          <w:sz w:val="56"/>
          <w:szCs w:val="18"/>
          <w:highlight w:val="none"/>
        </w:rPr>
      </w:pPr>
      <w:r>
        <w:rPr>
          <w:rFonts w:hint="eastAsia" w:ascii="宋体" w:hAnsi="宋体"/>
          <w:b/>
          <w:sz w:val="56"/>
          <w:szCs w:val="18"/>
          <w:highlight w:val="none"/>
        </w:rPr>
        <w:t>件</w:t>
      </w:r>
    </w:p>
    <w:p w14:paraId="7953583B">
      <w:pPr>
        <w:jc w:val="center"/>
        <w:rPr>
          <w:rFonts w:hint="eastAsia" w:ascii="宋体" w:hAnsi="宋体"/>
          <w:b/>
          <w:sz w:val="56"/>
          <w:szCs w:val="18"/>
          <w:highlight w:val="none"/>
        </w:rPr>
      </w:pPr>
    </w:p>
    <w:p w14:paraId="72334CEE">
      <w:pPr>
        <w:spacing w:after="120" w:afterLines="50" w:line="500" w:lineRule="exact"/>
        <w:jc w:val="center"/>
        <w:rPr>
          <w:rFonts w:hint="eastAsia" w:ascii="宋体" w:hAnsi="宋体"/>
          <w:b/>
          <w:sz w:val="72"/>
          <w:highlight w:val="none"/>
        </w:rPr>
      </w:pPr>
    </w:p>
    <w:p w14:paraId="2142F407">
      <w:pPr>
        <w:spacing w:after="120" w:afterLines="50" w:line="480" w:lineRule="auto"/>
        <w:rPr>
          <w:rFonts w:hint="eastAsia" w:ascii="宋体" w:hAnsi="宋体"/>
          <w:b/>
          <w:sz w:val="32"/>
          <w:highlight w:val="none"/>
          <w:u w:val="single"/>
        </w:rPr>
      </w:pPr>
      <w:r>
        <w:rPr>
          <w:rFonts w:hint="eastAsia" w:ascii="宋体" w:hAnsi="宋体"/>
          <w:b/>
          <w:sz w:val="30"/>
          <w:highlight w:val="none"/>
        </w:rPr>
        <w:t xml:space="preserve">                 </w:t>
      </w:r>
      <w:r>
        <w:rPr>
          <w:rFonts w:hint="eastAsia" w:ascii="宋体" w:hAnsi="宋体"/>
          <w:b/>
          <w:sz w:val="32"/>
          <w:highlight w:val="none"/>
        </w:rPr>
        <w:t>投标人：</w:t>
      </w:r>
      <w:r>
        <w:rPr>
          <w:rFonts w:hint="eastAsia" w:ascii="宋体" w:hAnsi="宋体"/>
          <w:b/>
          <w:sz w:val="32"/>
          <w:highlight w:val="none"/>
          <w:u w:val="single"/>
        </w:rPr>
        <w:t xml:space="preserve">               </w:t>
      </w:r>
    </w:p>
    <w:p w14:paraId="12034AF4">
      <w:pPr>
        <w:spacing w:after="120" w:afterLines="50" w:line="480" w:lineRule="auto"/>
        <w:jc w:val="center"/>
        <w:rPr>
          <w:rFonts w:hint="eastAsia" w:ascii="宋体" w:hAnsi="宋体"/>
          <w:b/>
          <w:sz w:val="32"/>
          <w:highlight w:val="none"/>
        </w:rPr>
      </w:pP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年</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月</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日</w:t>
      </w:r>
    </w:p>
    <w:p w14:paraId="65BCA573">
      <w:pPr>
        <w:rPr>
          <w:highlight w:val="none"/>
        </w:rPr>
      </w:pPr>
    </w:p>
    <w:p w14:paraId="305F4433">
      <w:pPr>
        <w:rPr>
          <w:highlight w:val="none"/>
        </w:rPr>
      </w:pPr>
    </w:p>
    <w:p w14:paraId="527AFF74">
      <w:pPr>
        <w:rPr>
          <w:rFonts w:hint="eastAsia"/>
          <w:highlight w:val="none"/>
        </w:rPr>
      </w:pPr>
    </w:p>
    <w:p w14:paraId="3411752F">
      <w:pPr>
        <w:pStyle w:val="13"/>
        <w:ind w:left="0"/>
        <w:rPr>
          <w:rFonts w:ascii="宋体" w:hAnsi="宋体"/>
          <w:bCs/>
          <w:sz w:val="24"/>
          <w:szCs w:val="24"/>
          <w:highlight w:val="none"/>
        </w:rPr>
      </w:pPr>
      <w:r>
        <w:rPr>
          <w:highlight w:val="none"/>
        </w:rPr>
        <w:br w:type="page"/>
      </w:r>
      <w:r>
        <w:rPr>
          <w:rFonts w:hint="eastAsia"/>
          <w:sz w:val="28"/>
          <w:szCs w:val="28"/>
          <w:highlight w:val="none"/>
        </w:rPr>
        <w:t>附报价清单</w:t>
      </w:r>
      <w:r>
        <w:rPr>
          <w:rFonts w:hint="eastAsia"/>
          <w:highlight w:val="none"/>
        </w:rPr>
        <w:t xml:space="preserve"> </w:t>
      </w:r>
    </w:p>
    <w:p w14:paraId="615D2983">
      <w:pPr>
        <w:keepNext w:val="0"/>
        <w:keepLines w:val="0"/>
        <w:pageBreakBefore w:val="0"/>
        <w:widowControl w:val="0"/>
        <w:kinsoku/>
        <w:wordWrap/>
        <w:overflowPunct/>
        <w:topLinePunct w:val="0"/>
        <w:autoSpaceDE/>
        <w:autoSpaceDN/>
        <w:bidi w:val="0"/>
        <w:spacing w:line="360" w:lineRule="auto"/>
        <w:ind w:right="-10"/>
        <w:textAlignment w:val="auto"/>
        <w:rPr>
          <w:rFonts w:hint="eastAsia" w:ascii="宋体" w:hAnsi="宋体" w:eastAsia="宋体" w:cs="Times New Roman"/>
          <w:sz w:val="24"/>
          <w:highlight w:val="none"/>
        </w:rPr>
      </w:pPr>
    </w:p>
    <w:p w14:paraId="3F74A4E7">
      <w:pPr>
        <w:keepNext w:val="0"/>
        <w:keepLines w:val="0"/>
        <w:pageBreakBefore w:val="0"/>
        <w:widowControl w:val="0"/>
        <w:kinsoku/>
        <w:wordWrap/>
        <w:overflowPunct/>
        <w:topLinePunct w:val="0"/>
        <w:autoSpaceDE/>
        <w:autoSpaceDN/>
        <w:bidi w:val="0"/>
        <w:spacing w:line="560" w:lineRule="exact"/>
        <w:ind w:firstLine="480" w:firstLineChars="200"/>
        <w:jc w:val="left"/>
        <w:textAlignment w:val="auto"/>
        <w:rPr>
          <w:rFonts w:hint="eastAsia" w:ascii="宋体" w:hAnsi="宋体" w:eastAsia="宋体" w:cs="Times New Roman"/>
          <w:sz w:val="24"/>
          <w:szCs w:val="24"/>
          <w:highlight w:val="yellow"/>
          <w:lang w:val="en-US" w:eastAsia="zh-CN"/>
        </w:rPr>
      </w:pPr>
    </w:p>
    <w:p w14:paraId="2F972BAB">
      <w:pPr>
        <w:keepNext w:val="0"/>
        <w:keepLines w:val="0"/>
        <w:pageBreakBefore w:val="0"/>
        <w:widowControl w:val="0"/>
        <w:numPr>
          <w:ilvl w:val="0"/>
          <w:numId w:val="0"/>
        </w:numPr>
        <w:kinsoku/>
        <w:wordWrap/>
        <w:overflowPunct/>
        <w:topLinePunct w:val="0"/>
        <w:bidi w:val="0"/>
        <w:snapToGrid/>
        <w:spacing w:line="560" w:lineRule="exact"/>
        <w:ind w:firstLine="480" w:firstLineChars="200"/>
        <w:textAlignment w:val="auto"/>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宋体-18030">
    <w:altName w:val="微软雅黑"/>
    <w:panose1 w:val="02010609060101010101"/>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abstractNum w:abstractNumId="1">
    <w:nsid w:val="A9E41B90"/>
    <w:multiLevelType w:val="singleLevel"/>
    <w:tmpl w:val="A9E41B90"/>
    <w:lvl w:ilvl="0" w:tentative="0">
      <w:start w:val="1"/>
      <w:numFmt w:val="decimal"/>
      <w:lvlText w:val="%1."/>
      <w:lvlJc w:val="left"/>
      <w:pPr>
        <w:tabs>
          <w:tab w:val="left" w:pos="312"/>
        </w:tabs>
      </w:pPr>
    </w:lvl>
  </w:abstractNum>
  <w:abstractNum w:abstractNumId="2">
    <w:nsid w:val="AD926827"/>
    <w:multiLevelType w:val="singleLevel"/>
    <w:tmpl w:val="AD926827"/>
    <w:lvl w:ilvl="0" w:tentative="0">
      <w:start w:val="6"/>
      <w:numFmt w:val="decimal"/>
      <w:suff w:val="nothing"/>
      <w:lvlText w:val="%1、"/>
      <w:lvlJc w:val="left"/>
    </w:lvl>
  </w:abstractNum>
  <w:abstractNum w:abstractNumId="3">
    <w:nsid w:val="1779B74E"/>
    <w:multiLevelType w:val="singleLevel"/>
    <w:tmpl w:val="1779B74E"/>
    <w:lvl w:ilvl="0" w:tentative="0">
      <w:start w:val="1"/>
      <w:numFmt w:val="decimal"/>
      <w:suff w:val="nothing"/>
      <w:lvlText w:val="%1、"/>
      <w:lvlJc w:val="left"/>
    </w:lvl>
  </w:abstractNum>
  <w:abstractNum w:abstractNumId="4">
    <w:nsid w:val="1B69CE11"/>
    <w:multiLevelType w:val="singleLevel"/>
    <w:tmpl w:val="1B69CE11"/>
    <w:lvl w:ilvl="0" w:tentative="0">
      <w:start w:val="9"/>
      <w:numFmt w:val="chineseCounting"/>
      <w:suff w:val="nothing"/>
      <w:lvlText w:val="%1、"/>
      <w:lvlJc w:val="left"/>
      <w:rPr>
        <w:rFonts w:hint="eastAsia"/>
      </w:rPr>
    </w:lvl>
  </w:abstractNum>
  <w:abstractNum w:abstractNumId="5">
    <w:nsid w:val="69750224"/>
    <w:multiLevelType w:val="singleLevel"/>
    <w:tmpl w:val="69750224"/>
    <w:lvl w:ilvl="0" w:tentative="0">
      <w:start w:val="6"/>
      <w:numFmt w:val="chineseCounting"/>
      <w:suff w:val="nothing"/>
      <w:lvlText w:val="%1、"/>
      <w:lvlJc w:val="left"/>
      <w:rPr>
        <w:rFonts w:hint="eastAsia"/>
      </w:r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5ZmM1YjYzMzBmYWJkZDExNWE4ODE2ZDk2ZWQ5MmQifQ=="/>
  </w:docVars>
  <w:rsids>
    <w:rsidRoot w:val="2CC758DF"/>
    <w:rsid w:val="00533C0F"/>
    <w:rsid w:val="02BD63C9"/>
    <w:rsid w:val="04161524"/>
    <w:rsid w:val="0DEC061E"/>
    <w:rsid w:val="0E35459A"/>
    <w:rsid w:val="18EA5CF6"/>
    <w:rsid w:val="1A361CF4"/>
    <w:rsid w:val="1AE96143"/>
    <w:rsid w:val="202D6670"/>
    <w:rsid w:val="24772DE1"/>
    <w:rsid w:val="279A56C8"/>
    <w:rsid w:val="2CC758DF"/>
    <w:rsid w:val="2E174A9B"/>
    <w:rsid w:val="2F982CAB"/>
    <w:rsid w:val="357165A2"/>
    <w:rsid w:val="36802329"/>
    <w:rsid w:val="369C2044"/>
    <w:rsid w:val="370129E3"/>
    <w:rsid w:val="37B436C1"/>
    <w:rsid w:val="38FB7F5C"/>
    <w:rsid w:val="3957034E"/>
    <w:rsid w:val="39C20982"/>
    <w:rsid w:val="4047081D"/>
    <w:rsid w:val="416B24F4"/>
    <w:rsid w:val="44BF3C00"/>
    <w:rsid w:val="477F64F9"/>
    <w:rsid w:val="4CB41768"/>
    <w:rsid w:val="4CE22005"/>
    <w:rsid w:val="4D893C0E"/>
    <w:rsid w:val="4D9117CC"/>
    <w:rsid w:val="4F041DA9"/>
    <w:rsid w:val="514A3302"/>
    <w:rsid w:val="523E4DA9"/>
    <w:rsid w:val="52800CFD"/>
    <w:rsid w:val="52923035"/>
    <w:rsid w:val="569D102A"/>
    <w:rsid w:val="623164DE"/>
    <w:rsid w:val="65D41B30"/>
    <w:rsid w:val="69B07B1E"/>
    <w:rsid w:val="6B5B3B2D"/>
    <w:rsid w:val="780F0F07"/>
    <w:rsid w:val="7825797A"/>
    <w:rsid w:val="7A7D6744"/>
    <w:rsid w:val="7E710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jc w:val="center"/>
      <w:outlineLvl w:val="0"/>
    </w:pPr>
    <w:rPr>
      <w:rFonts w:eastAsia="方正小标宋简体" w:asciiTheme="minorAscii" w:hAnsiTheme="minorAscii"/>
      <w:kern w:val="44"/>
      <w:sz w:val="44"/>
      <w:szCs w:val="22"/>
    </w:rPr>
  </w:style>
  <w:style w:type="paragraph" w:styleId="3">
    <w:name w:val="heading 2"/>
    <w:basedOn w:val="1"/>
    <w:next w:val="1"/>
    <w:qFormat/>
    <w:uiPriority w:val="0"/>
    <w:pPr>
      <w:keepNext/>
      <w:keepLines/>
      <w:widowControl/>
      <w:spacing w:before="260" w:after="260" w:line="415" w:lineRule="auto"/>
      <w:jc w:val="center"/>
      <w:outlineLvl w:val="1"/>
    </w:pPr>
    <w:rPr>
      <w:rFonts w:ascii="Arial" w:hAnsi="Arial" w:eastAsia="黑体"/>
      <w:b/>
      <w:kern w:val="0"/>
      <w:sz w:val="36"/>
      <w:szCs w:val="20"/>
    </w:rPr>
  </w:style>
  <w:style w:type="paragraph" w:styleId="4">
    <w:name w:val="heading 3"/>
    <w:basedOn w:val="1"/>
    <w:next w:val="1"/>
    <w:qFormat/>
    <w:uiPriority w:val="0"/>
    <w:pPr>
      <w:keepNext/>
      <w:keepLines/>
      <w:spacing w:before="260" w:beforeLines="0" w:beforeAutospacing="0" w:after="260" w:afterLines="0" w:afterAutospacing="0" w:line="413" w:lineRule="auto"/>
      <w:jc w:val="center"/>
      <w:outlineLvl w:val="2"/>
    </w:pPr>
    <w:rPr>
      <w:rFonts w:ascii="宋体"/>
      <w:b/>
      <w:sz w:val="32"/>
    </w:rPr>
  </w:style>
  <w:style w:type="character" w:default="1" w:styleId="15">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5">
    <w:name w:val="Salutation"/>
    <w:basedOn w:val="1"/>
    <w:next w:val="1"/>
    <w:autoRedefine/>
    <w:qFormat/>
    <w:uiPriority w:val="0"/>
    <w:rPr>
      <w:rFonts w:ascii="仿宋_GB2312" w:eastAsia="仿宋_GB2312"/>
      <w:sz w:val="28"/>
      <w:szCs w:val="20"/>
    </w:rPr>
  </w:style>
  <w:style w:type="paragraph" w:styleId="6">
    <w:name w:val="Body Text Indent"/>
    <w:basedOn w:val="1"/>
    <w:next w:val="7"/>
    <w:autoRedefine/>
    <w:qFormat/>
    <w:uiPriority w:val="0"/>
    <w:pPr>
      <w:spacing w:line="360" w:lineRule="auto"/>
      <w:ind w:firstLine="600" w:firstLineChars="250"/>
    </w:pPr>
    <w:rPr>
      <w:rFonts w:ascii="宋体" w:hAnsi="宋体"/>
      <w:sz w:val="24"/>
    </w:rPr>
  </w:style>
  <w:style w:type="paragraph" w:styleId="7">
    <w:name w:val="envelope return"/>
    <w:basedOn w:val="1"/>
    <w:autoRedefine/>
    <w:qFormat/>
    <w:uiPriority w:val="0"/>
    <w:pPr>
      <w:widowControl/>
    </w:pPr>
    <w:rPr>
      <w:kern w:val="0"/>
      <w:sz w:val="22"/>
      <w:szCs w:val="20"/>
      <w:lang w:val="en-GB" w:eastAsia="en-US"/>
    </w:rPr>
  </w:style>
  <w:style w:type="paragraph" w:styleId="8">
    <w:name w:val="Plain Text"/>
    <w:basedOn w:val="1"/>
    <w:qFormat/>
    <w:uiPriority w:val="99"/>
    <w:rPr>
      <w:rFonts w:ascii="宋体"/>
      <w:szCs w:val="20"/>
    </w:rPr>
  </w:style>
  <w:style w:type="paragraph" w:styleId="9">
    <w:name w:val="Date"/>
    <w:basedOn w:val="1"/>
    <w:next w:val="1"/>
    <w:qFormat/>
    <w:uiPriority w:val="0"/>
    <w:pPr>
      <w:widowControl/>
      <w:spacing w:before="100" w:beforeAutospacing="1" w:after="100" w:afterAutospacing="1"/>
      <w:jc w:val="left"/>
    </w:pPr>
    <w:rPr>
      <w:rFonts w:ascii="宋体" w:hAnsi="宋体"/>
      <w:kern w:val="0"/>
      <w:sz w:val="24"/>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6"/>
    <w:autoRedefine/>
    <w:qFormat/>
    <w:uiPriority w:val="0"/>
    <w:pPr>
      <w:spacing w:before="0" w:after="120" w:line="240" w:lineRule="auto"/>
      <w:ind w:left="420" w:firstLine="0" w:firstLineChars="0"/>
    </w:pPr>
    <w:rPr>
      <w:rFonts w:ascii="Times New Roman" w:hAnsi="Times New Roman"/>
      <w:szCs w:val="20"/>
    </w:rPr>
  </w:style>
  <w:style w:type="character" w:styleId="16">
    <w:name w:val="Strong"/>
    <w:basedOn w:val="15"/>
    <w:qFormat/>
    <w:uiPriority w:val="0"/>
    <w:rPr>
      <w:b/>
    </w:rPr>
  </w:style>
  <w:style w:type="character" w:styleId="17">
    <w:name w:val="page number"/>
    <w:qFormat/>
    <w:uiPriority w:val="0"/>
  </w:style>
  <w:style w:type="character" w:styleId="18">
    <w:name w:val="Hyperlink"/>
    <w:basedOn w:val="15"/>
    <w:qFormat/>
    <w:uiPriority w:val="0"/>
    <w:rPr>
      <w:color w:val="0000FF"/>
      <w:u w:val="single"/>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宋体" w:hAnsi="宋体" w:eastAsia="宋体" w:cs="宋体"/>
      <w:sz w:val="24"/>
      <w:szCs w:val="24"/>
      <w:lang w:val="en-US" w:eastAsia="en-US" w:bidi="ar-SA"/>
    </w:rPr>
  </w:style>
  <w:style w:type="paragraph" w:customStyle="1" w:styleId="21">
    <w:name w:val="D&amp;L"/>
    <w:basedOn w:val="11"/>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2">
    <w:name w:val="正文_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5223</Words>
  <Characters>5411</Characters>
  <Lines>0</Lines>
  <Paragraphs>0</Paragraphs>
  <TotalTime>39</TotalTime>
  <ScaleCrop>false</ScaleCrop>
  <LinksUpToDate>false</LinksUpToDate>
  <CharactersWithSpaces>5871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2024-05-09T01:10:00Z</dcterms:created>
  <dc:creator>丰文涛</dc:creator>
  <cp:lastModifiedBy>What A Mess</cp:lastModifiedBy>
  <cp:lastPrinted>2026-07-22T01:20:00Z</cp:lastPrinted>
  <dcterms:modified xsi:type="dcterms:W3CDTF">2026-07-22T04:03:25Z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1FEA1DC9DAA74F61A712C631A4FD5BA4_13</vt:lpwstr>
  </property>
  <property fmtid="{D5CDD505-2E9C-101B-9397-08002B2CF9AE}" pid="4" name="KSOTemplateDocerSaveRecord">
    <vt:lpwstr>eyJoZGlkIjoiY2U1MGYyODc2YjU1MmQ5MTI5ZTk5MzgxYTY1OTQ4NDgiLCJ1c2VySWQiOiIyNDM3MDYxMDIifQ==</vt:lpwstr>
  </property>
</Properties>
</file>