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4F32B">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招标</w:t>
      </w:r>
      <w:r>
        <w:rPr>
          <w:rFonts w:hint="eastAsia" w:ascii="方正小标宋简体" w:hAnsi="方正小标宋简体" w:eastAsia="方正小标宋简体" w:cs="方正小标宋简体"/>
          <w:b w:val="0"/>
          <w:bCs/>
          <w:sz w:val="44"/>
          <w:szCs w:val="44"/>
        </w:rPr>
        <w:t>文件</w:t>
      </w:r>
    </w:p>
    <w:p w14:paraId="5C7B7058">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一、</w:t>
      </w:r>
      <w:r>
        <w:rPr>
          <w:rFonts w:hint="eastAsia" w:ascii="黑体" w:hAnsi="黑体" w:eastAsia="黑体" w:cs="黑体"/>
          <w:b w:val="0"/>
          <w:bCs w:val="0"/>
          <w:sz w:val="24"/>
          <w:szCs w:val="24"/>
          <w:lang w:val="en-US" w:eastAsia="zh-CN"/>
        </w:rPr>
        <w:t>招标</w:t>
      </w:r>
      <w:r>
        <w:rPr>
          <w:rFonts w:hint="eastAsia" w:ascii="黑体" w:hAnsi="黑体" w:eastAsia="黑体" w:cs="黑体"/>
          <w:b w:val="0"/>
          <w:bCs w:val="0"/>
          <w:sz w:val="24"/>
          <w:szCs w:val="24"/>
        </w:rPr>
        <w:t>需求</w:t>
      </w:r>
    </w:p>
    <w:p w14:paraId="1441F4C5">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sz w:val="24"/>
          <w:szCs w:val="24"/>
          <w:highlight w:val="none"/>
          <w:lang w:val="en-US" w:eastAsia="zh-CN"/>
        </w:rPr>
      </w:pPr>
      <w:r>
        <w:rPr>
          <w:rFonts w:hint="eastAsia" w:ascii="宋体" w:hAnsi="宋体"/>
          <w:sz w:val="24"/>
          <w:szCs w:val="24"/>
        </w:rPr>
        <w:t>1、</w:t>
      </w:r>
      <w:r>
        <w:rPr>
          <w:rFonts w:hint="eastAsia" w:ascii="宋体" w:hAnsi="宋体"/>
          <w:sz w:val="24"/>
          <w:szCs w:val="24"/>
          <w:lang w:val="en-US" w:eastAsia="zh-CN"/>
        </w:rPr>
        <w:t>招标人</w:t>
      </w:r>
      <w:r>
        <w:rPr>
          <w:rFonts w:hint="eastAsia" w:ascii="宋体" w:hAnsi="宋体"/>
          <w:sz w:val="24"/>
          <w:szCs w:val="24"/>
        </w:rPr>
        <w:t>：</w:t>
      </w:r>
      <w:r>
        <w:rPr>
          <w:rFonts w:hint="eastAsia" w:ascii="宋体" w:hAnsi="宋体"/>
          <w:sz w:val="24"/>
          <w:szCs w:val="24"/>
          <w:lang w:val="en-US" w:eastAsia="zh-CN"/>
        </w:rPr>
        <w:t xml:space="preserve"> </w:t>
      </w:r>
      <w:r>
        <w:rPr>
          <w:rFonts w:hint="eastAsia" w:ascii="宋体" w:hAnsi="宋体"/>
          <w:sz w:val="24"/>
          <w:szCs w:val="24"/>
          <w:highlight w:val="none"/>
          <w:lang w:val="en-US" w:eastAsia="zh-CN"/>
        </w:rPr>
        <w:t>芜湖滨江文旅投资运营有限公司</w:t>
      </w:r>
    </w:p>
    <w:p w14:paraId="480C06A6">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color w:val="auto"/>
          <w:sz w:val="24"/>
          <w:szCs w:val="24"/>
          <w:lang w:val="en-US" w:eastAsia="zh-CN"/>
        </w:rPr>
      </w:pPr>
      <w:r>
        <w:rPr>
          <w:rFonts w:hint="eastAsia" w:ascii="宋体" w:hAnsi="宋体"/>
          <w:color w:val="auto"/>
          <w:sz w:val="24"/>
          <w:szCs w:val="24"/>
        </w:rPr>
        <w:t>2、项目名称：</w:t>
      </w:r>
      <w:r>
        <w:rPr>
          <w:rFonts w:hint="eastAsia" w:ascii="宋体" w:hAnsi="宋体"/>
          <w:color w:val="auto"/>
          <w:sz w:val="24"/>
          <w:szCs w:val="24"/>
          <w:lang w:val="en-US" w:eastAsia="zh-CN"/>
        </w:rPr>
        <w:t>芜湖老船厂1900项目10#地块地库监控及信号覆盖工程</w:t>
      </w:r>
    </w:p>
    <w:p w14:paraId="03E6831C">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default" w:ascii="宋体" w:hAnsi="宋体"/>
          <w:color w:val="auto"/>
          <w:sz w:val="24"/>
          <w:szCs w:val="24"/>
          <w:lang w:val="en-US" w:eastAsia="zh-CN"/>
        </w:rPr>
      </w:pPr>
      <w:r>
        <w:rPr>
          <w:rFonts w:hint="eastAsia" w:ascii="宋体" w:hAnsi="宋体"/>
          <w:color w:val="auto"/>
          <w:sz w:val="24"/>
          <w:szCs w:val="24"/>
        </w:rPr>
        <w:t>3、项目概况：</w:t>
      </w:r>
      <w:r>
        <w:rPr>
          <w:rFonts w:hint="eastAsia" w:ascii="宋体" w:hAnsi="宋体"/>
          <w:color w:val="auto"/>
          <w:sz w:val="24"/>
          <w:szCs w:val="24"/>
          <w:lang w:val="en-US" w:eastAsia="zh-CN"/>
        </w:rPr>
        <w:t>芜湖老船厂1900项目10#地块地下车库及电梯增加视频监控及信号覆盖设施，具体内容包括：地下室及电梯监控摄像机、桥架及电缆，信号覆盖主机及配管配线等，具体详见招标文件及图纸清单。</w:t>
      </w:r>
    </w:p>
    <w:p w14:paraId="71FBC0A6">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default" w:ascii="宋体" w:hAnsi="宋体"/>
          <w:color w:val="auto"/>
          <w:sz w:val="24"/>
          <w:szCs w:val="24"/>
          <w:lang w:val="en-US"/>
        </w:rPr>
      </w:pPr>
      <w:r>
        <w:rPr>
          <w:rFonts w:hint="eastAsia" w:ascii="宋体" w:hAnsi="宋体"/>
          <w:color w:val="auto"/>
          <w:sz w:val="24"/>
          <w:szCs w:val="24"/>
        </w:rPr>
        <w:t>4、项目概算（招标控制价）</w:t>
      </w:r>
      <w:r>
        <w:rPr>
          <w:rFonts w:hint="eastAsia" w:ascii="宋体" w:hAnsi="宋体"/>
          <w:color w:val="auto"/>
          <w:sz w:val="24"/>
          <w:szCs w:val="24"/>
          <w:lang w:val="en-US" w:eastAsia="zh-CN"/>
        </w:rPr>
        <w:t>：143629.20元（含9%税点）。</w:t>
      </w:r>
    </w:p>
    <w:p w14:paraId="50E5F4BF">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二、</w:t>
      </w:r>
      <w:r>
        <w:rPr>
          <w:rFonts w:hint="eastAsia" w:ascii="黑体" w:hAnsi="黑体" w:eastAsia="黑体" w:cs="黑体"/>
          <w:b w:val="0"/>
          <w:bCs w:val="0"/>
          <w:sz w:val="24"/>
          <w:szCs w:val="24"/>
          <w:lang w:val="en-US" w:eastAsia="zh-CN"/>
        </w:rPr>
        <w:t>投标人</w:t>
      </w:r>
      <w:r>
        <w:rPr>
          <w:rFonts w:hint="eastAsia" w:ascii="黑体" w:hAnsi="黑体" w:eastAsia="黑体" w:cs="黑体"/>
          <w:b w:val="0"/>
          <w:bCs w:val="0"/>
          <w:sz w:val="24"/>
          <w:szCs w:val="24"/>
        </w:rPr>
        <w:t>资格条件</w:t>
      </w:r>
    </w:p>
    <w:p w14:paraId="2C287F0F">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val="en-US" w:eastAsia="zh-CN"/>
          <w14:textFill>
            <w14:solidFill>
              <w14:schemeClr w14:val="tx1"/>
            </w14:solidFill>
          </w14:textFill>
        </w:rPr>
        <w:t>投标人</w:t>
      </w:r>
      <w:r>
        <w:rPr>
          <w:rFonts w:hint="eastAsia" w:ascii="宋体" w:hAnsi="宋体"/>
          <w:color w:val="000000" w:themeColor="text1"/>
          <w:sz w:val="24"/>
          <w:szCs w:val="24"/>
          <w14:textFill>
            <w14:solidFill>
              <w14:schemeClr w14:val="tx1"/>
            </w14:solidFill>
          </w14:textFill>
        </w:rPr>
        <w:t>须具备独立法人资格、具有有效的营业执照。</w:t>
      </w:r>
    </w:p>
    <w:p w14:paraId="020FCB59">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、本项目不接受联合体投标。</w:t>
      </w:r>
    </w:p>
    <w:p w14:paraId="5AB57C2D">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三、</w:t>
      </w:r>
      <w:r>
        <w:rPr>
          <w:rFonts w:hint="eastAsia" w:ascii="黑体" w:hAnsi="黑体" w:eastAsia="黑体" w:cs="黑体"/>
          <w:b w:val="0"/>
          <w:bCs w:val="0"/>
          <w:sz w:val="24"/>
          <w:szCs w:val="24"/>
          <w:lang w:val="en-US" w:eastAsia="zh-CN"/>
        </w:rPr>
        <w:t>评标</w:t>
      </w:r>
      <w:r>
        <w:rPr>
          <w:rFonts w:hint="eastAsia" w:ascii="黑体" w:hAnsi="黑体" w:eastAsia="黑体" w:cs="黑体"/>
          <w:b w:val="0"/>
          <w:bCs w:val="0"/>
          <w:sz w:val="24"/>
          <w:szCs w:val="24"/>
        </w:rPr>
        <w:t>方法（</w:t>
      </w:r>
      <w:r>
        <w:rPr>
          <w:rFonts w:hint="eastAsia" w:ascii="宋体" w:hAnsi="宋体"/>
          <w:b/>
          <w:sz w:val="24"/>
          <w:highlight w:val="none"/>
        </w:rPr>
        <w:t>综合评分法</w:t>
      </w:r>
      <w:r>
        <w:rPr>
          <w:rFonts w:hint="eastAsia" w:ascii="黑体" w:hAnsi="黑体" w:eastAsia="黑体" w:cs="黑体"/>
          <w:b w:val="0"/>
          <w:bCs w:val="0"/>
          <w:sz w:val="24"/>
          <w:szCs w:val="24"/>
        </w:rPr>
        <w:t>）</w:t>
      </w:r>
    </w:p>
    <w:p w14:paraId="4132F511">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投标</w:t>
      </w:r>
      <w:r>
        <w:rPr>
          <w:rFonts w:hint="eastAsia"/>
          <w:sz w:val="24"/>
          <w:szCs w:val="24"/>
        </w:rPr>
        <w:t>人报价不得高于招标控制价，否则其报价无效。</w:t>
      </w:r>
    </w:p>
    <w:p w14:paraId="77F24ED5">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rPr>
        <w:t>2、经</w:t>
      </w:r>
      <w:r>
        <w:rPr>
          <w:rFonts w:hint="eastAsia"/>
          <w:sz w:val="24"/>
          <w:szCs w:val="24"/>
          <w:lang w:val="en-US" w:eastAsia="zh-CN"/>
        </w:rPr>
        <w:t>评标委员会</w:t>
      </w:r>
      <w:r>
        <w:rPr>
          <w:rFonts w:hint="eastAsia"/>
          <w:sz w:val="24"/>
          <w:szCs w:val="24"/>
        </w:rPr>
        <w:t>评审符合</w:t>
      </w:r>
      <w:r>
        <w:rPr>
          <w:rFonts w:hint="eastAsia"/>
          <w:sz w:val="24"/>
          <w:szCs w:val="24"/>
          <w:lang w:val="en-US" w:eastAsia="zh-CN"/>
        </w:rPr>
        <w:t>询价</w:t>
      </w:r>
      <w:r>
        <w:rPr>
          <w:rFonts w:hint="eastAsia"/>
          <w:sz w:val="24"/>
          <w:szCs w:val="24"/>
        </w:rPr>
        <w:t>文件规定条件的有效</w:t>
      </w:r>
      <w:r>
        <w:rPr>
          <w:rFonts w:hint="eastAsia"/>
          <w:sz w:val="24"/>
          <w:szCs w:val="24"/>
          <w:lang w:val="en-US" w:eastAsia="zh-CN"/>
        </w:rPr>
        <w:t>投标人</w:t>
      </w:r>
      <w:r>
        <w:rPr>
          <w:rFonts w:hint="eastAsia"/>
          <w:sz w:val="24"/>
          <w:szCs w:val="24"/>
        </w:rPr>
        <w:t>如低于三家，则本次招标流标（另行重新组织</w:t>
      </w:r>
      <w:r>
        <w:rPr>
          <w:rFonts w:hint="eastAsia"/>
          <w:sz w:val="24"/>
          <w:szCs w:val="24"/>
          <w:lang w:val="en-US" w:eastAsia="zh-CN"/>
        </w:rPr>
        <w:t>询价</w:t>
      </w:r>
      <w:r>
        <w:rPr>
          <w:rFonts w:hint="eastAsia"/>
          <w:sz w:val="24"/>
          <w:szCs w:val="24"/>
        </w:rPr>
        <w:t>）。</w:t>
      </w:r>
    </w:p>
    <w:p w14:paraId="333F27B9">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rPr>
        <w:t>3、</w:t>
      </w:r>
      <w:r>
        <w:rPr>
          <w:rFonts w:hint="eastAsia" w:ascii="Times New Roman" w:hAnsi="Times New Roman" w:eastAsia="宋体" w:cs="Times New Roman"/>
          <w:sz w:val="24"/>
          <w:szCs w:val="24"/>
          <w:lang w:val="en-US" w:eastAsia="zh-CN"/>
        </w:rPr>
        <w:t>评标委员会对投标文件按照规定的评审标准和评标程序进行评审，并按综合得分由高到低依次排序，排名第一的为中标候选人。</w:t>
      </w:r>
    </w:p>
    <w:p w14:paraId="4A075FFE">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四、投标文件递交</w:t>
      </w:r>
    </w:p>
    <w:p w14:paraId="256A5334">
      <w:pPr>
        <w:pStyle w:val="13"/>
        <w:keepNext w:val="0"/>
        <w:keepLines w:val="0"/>
        <w:pageBreakBefore w:val="0"/>
        <w:widowControl w:val="0"/>
        <w:kinsoku/>
        <w:wordWrap/>
        <w:overflowPunct/>
        <w:topLinePunct w:val="0"/>
        <w:bidi w:val="0"/>
        <w:snapToGrid/>
        <w:spacing w:line="360" w:lineRule="auto"/>
        <w:textAlignment w:val="auto"/>
        <w:rPr>
          <w:rFonts w:hint="eastAsia"/>
          <w:color w:val="auto"/>
          <w:sz w:val="24"/>
          <w:szCs w:val="24"/>
          <w:lang w:eastAsia="zh-CN"/>
        </w:rPr>
      </w:pPr>
      <w:r>
        <w:rPr>
          <w:rFonts w:hint="eastAsia"/>
          <w:color w:val="auto"/>
          <w:sz w:val="24"/>
          <w:szCs w:val="24"/>
        </w:rPr>
        <w:t>1、</w:t>
      </w:r>
      <w:r>
        <w:rPr>
          <w:rFonts w:hint="eastAsia"/>
          <w:color w:val="auto"/>
          <w:sz w:val="24"/>
          <w:szCs w:val="24"/>
          <w:lang w:val="en-US" w:eastAsia="zh-CN"/>
        </w:rPr>
        <w:t>投标</w:t>
      </w:r>
      <w:r>
        <w:rPr>
          <w:rFonts w:hint="eastAsia"/>
          <w:color w:val="auto"/>
          <w:sz w:val="24"/>
          <w:szCs w:val="24"/>
        </w:rPr>
        <w:t>文件应包括</w:t>
      </w:r>
      <w:r>
        <w:rPr>
          <w:rFonts w:hint="eastAsia"/>
          <w:color w:val="auto"/>
          <w:sz w:val="24"/>
          <w:szCs w:val="24"/>
          <w:lang w:eastAsia="zh-CN"/>
        </w:rPr>
        <w:t>：</w:t>
      </w:r>
    </w:p>
    <w:p w14:paraId="25587606">
      <w:pPr>
        <w:pStyle w:val="13"/>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（一）报名材料</w:t>
      </w:r>
    </w:p>
    <w:p w14:paraId="2B2CE22E">
      <w:pPr>
        <w:pStyle w:val="13"/>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1.投标函 加盖公章；</w:t>
      </w:r>
    </w:p>
    <w:p w14:paraId="6125330E">
      <w:pPr>
        <w:pStyle w:val="13"/>
        <w:keepNext w:val="0"/>
        <w:keepLines w:val="0"/>
        <w:pageBreakBefore w:val="0"/>
        <w:widowControl w:val="0"/>
        <w:kinsoku/>
        <w:wordWrap/>
        <w:overflowPunct/>
        <w:topLinePunct w:val="0"/>
        <w:bidi w:val="0"/>
        <w:snapToGrid/>
        <w:spacing w:line="360" w:lineRule="auto"/>
        <w:textAlignment w:val="auto"/>
        <w:rPr>
          <w:rFonts w:hint="eastAsia" w:ascii="宋体" w:hAnsi="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（二）技术</w:t>
      </w:r>
      <w:r>
        <w:rPr>
          <w:rFonts w:hint="eastAsia" w:ascii="宋体" w:hAnsi="宋体" w:cs="Times New Roman"/>
          <w:color w:val="auto"/>
          <w:kern w:val="2"/>
          <w:sz w:val="24"/>
          <w:szCs w:val="24"/>
          <w:lang w:val="en-US" w:eastAsia="zh-CN" w:bidi="ar-SA"/>
        </w:rPr>
        <w:t>标</w:t>
      </w:r>
    </w:p>
    <w:p w14:paraId="7F2B0E16">
      <w:pPr>
        <w:pStyle w:val="13"/>
        <w:keepNext w:val="0"/>
        <w:keepLines w:val="0"/>
        <w:pageBreakBefore w:val="0"/>
        <w:widowControl w:val="0"/>
        <w:kinsoku/>
        <w:wordWrap/>
        <w:overflowPunct/>
        <w:topLinePunct w:val="0"/>
        <w:bidi w:val="0"/>
        <w:snapToGrid/>
        <w:spacing w:line="360" w:lineRule="auto"/>
        <w:textAlignment w:val="auto"/>
        <w:rPr>
          <w:rFonts w:hint="eastAsia" w:ascii="宋体" w:hAnsi="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w:t>
      </w:r>
      <w:r>
        <w:rPr>
          <w:rFonts w:hint="eastAsia" w:ascii="宋体" w:hAnsi="宋体" w:cs="Times New Roman"/>
          <w:color w:val="auto"/>
          <w:kern w:val="2"/>
          <w:sz w:val="24"/>
          <w:szCs w:val="24"/>
          <w:lang w:val="en-US" w:eastAsia="zh-CN" w:bidi="ar-SA"/>
        </w:rPr>
        <w:t>施工</w:t>
      </w:r>
      <w:r>
        <w:rPr>
          <w:rFonts w:hint="eastAsia" w:ascii="宋体" w:hAnsi="宋体" w:eastAsia="宋体" w:cs="Times New Roman"/>
          <w:color w:val="auto"/>
          <w:kern w:val="2"/>
          <w:sz w:val="24"/>
          <w:szCs w:val="24"/>
          <w:lang w:val="en-US" w:eastAsia="zh-CN" w:bidi="ar-SA"/>
        </w:rPr>
        <w:t>方案 加盖公章;</w:t>
      </w:r>
    </w:p>
    <w:p w14:paraId="69BC2BF4">
      <w:pPr>
        <w:pStyle w:val="13"/>
        <w:keepNext w:val="0"/>
        <w:keepLines w:val="0"/>
        <w:pageBreakBefore w:val="0"/>
        <w:widowControl w:val="0"/>
        <w:kinsoku/>
        <w:wordWrap/>
        <w:overflowPunct/>
        <w:topLinePunct w:val="0"/>
        <w:bidi w:val="0"/>
        <w:snapToGrid/>
        <w:spacing w:line="360" w:lineRule="auto"/>
        <w:textAlignment w:val="auto"/>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（三）</w:t>
      </w:r>
      <w:r>
        <w:rPr>
          <w:rFonts w:hint="eastAsia" w:ascii="宋体" w:hAnsi="宋体" w:cs="Times New Roman"/>
          <w:color w:val="auto"/>
          <w:kern w:val="2"/>
          <w:sz w:val="24"/>
          <w:szCs w:val="24"/>
          <w:lang w:val="en-US" w:eastAsia="zh-CN" w:bidi="ar-SA"/>
        </w:rPr>
        <w:t>商务标</w:t>
      </w:r>
    </w:p>
    <w:p w14:paraId="102724C3">
      <w:pPr>
        <w:pStyle w:val="13"/>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1</w:t>
      </w:r>
      <w:r>
        <w:rPr>
          <w:rFonts w:hint="eastAsia" w:ascii="宋体" w:hAnsi="宋体" w:eastAsia="宋体" w:cs="Times New Roman"/>
          <w:color w:val="auto"/>
          <w:kern w:val="2"/>
          <w:sz w:val="24"/>
          <w:szCs w:val="24"/>
          <w:lang w:val="en-US" w:eastAsia="zh-CN" w:bidi="ar-SA"/>
        </w:rPr>
        <w:t>.营业执照 加盖公章；；</w:t>
      </w:r>
    </w:p>
    <w:p w14:paraId="739B51FA">
      <w:pPr>
        <w:pStyle w:val="13"/>
        <w:keepNext w:val="0"/>
        <w:keepLines w:val="0"/>
        <w:pageBreakBefore w:val="0"/>
        <w:widowControl w:val="0"/>
        <w:kinsoku/>
        <w:wordWrap/>
        <w:overflowPunct/>
        <w:topLinePunct w:val="0"/>
        <w:bidi w:val="0"/>
        <w:snapToGrid/>
        <w:spacing w:line="360" w:lineRule="auto"/>
        <w:textAlignment w:val="auto"/>
        <w:rPr>
          <w:rFonts w:hint="eastAsia" w:ascii="宋体" w:hAnsi="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（四）报价文件</w:t>
      </w:r>
    </w:p>
    <w:p w14:paraId="21656A54">
      <w:pPr>
        <w:pStyle w:val="13"/>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1.清单报价 加盖公章。</w:t>
      </w:r>
    </w:p>
    <w:p w14:paraId="26F9E767">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（五）投标要求</w:t>
      </w:r>
    </w:p>
    <w:p w14:paraId="1C8EB6BC">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lang w:val="en-US" w:eastAsia="zh-CN"/>
        </w:rPr>
        <w:t>1.</w:t>
      </w:r>
      <w:r>
        <w:rPr>
          <w:rFonts w:hint="eastAsia" w:ascii="宋体" w:hAnsi="宋体" w:eastAsia="宋体" w:cs="Times New Roman"/>
          <w:kern w:val="2"/>
          <w:sz w:val="24"/>
          <w:szCs w:val="24"/>
          <w:lang w:val="en-US" w:eastAsia="zh-CN" w:bidi="ar-SA"/>
        </w:rPr>
        <w:t>投标人应按本招标文件“招投标日程表”规定的时间、地点，向招标人密封</w:t>
      </w:r>
      <w:r>
        <w:rPr>
          <w:rFonts w:hint="eastAsia"/>
          <w:sz w:val="24"/>
          <w:szCs w:val="24"/>
        </w:rPr>
        <w:t>提交</w:t>
      </w:r>
      <w:r>
        <w:rPr>
          <w:rFonts w:hint="eastAsia"/>
          <w:b/>
          <w:bCs/>
          <w:sz w:val="24"/>
          <w:szCs w:val="24"/>
        </w:rPr>
        <w:t>密封</w:t>
      </w:r>
      <w:r>
        <w:rPr>
          <w:rFonts w:hint="eastAsia"/>
          <w:b/>
          <w:bCs/>
          <w:sz w:val="24"/>
          <w:szCs w:val="24"/>
          <w:lang w:val="en-US" w:eastAsia="zh-CN"/>
        </w:rPr>
        <w:t>且盖章</w:t>
      </w:r>
      <w:r>
        <w:rPr>
          <w:rFonts w:hint="eastAsia"/>
          <w:b w:val="0"/>
          <w:bCs w:val="0"/>
          <w:sz w:val="24"/>
          <w:szCs w:val="24"/>
          <w:lang w:val="en-US" w:eastAsia="zh-CN"/>
        </w:rPr>
        <w:t>的</w:t>
      </w:r>
      <w:r>
        <w:rPr>
          <w:rFonts w:hint="eastAsia"/>
          <w:sz w:val="24"/>
          <w:szCs w:val="24"/>
          <w:lang w:val="en-US" w:eastAsia="zh-CN"/>
        </w:rPr>
        <w:t>投标</w:t>
      </w:r>
      <w:r>
        <w:rPr>
          <w:rFonts w:hint="eastAsia"/>
          <w:sz w:val="24"/>
          <w:szCs w:val="24"/>
        </w:rPr>
        <w:t>文件</w:t>
      </w:r>
      <w:r>
        <w:rPr>
          <w:rFonts w:hint="eastAsia"/>
          <w:sz w:val="24"/>
          <w:szCs w:val="24"/>
          <w:lang w:eastAsia="zh-CN"/>
        </w:rPr>
        <w:t>，</w:t>
      </w:r>
      <w:r>
        <w:rPr>
          <w:rFonts w:hint="eastAsia"/>
          <w:sz w:val="24"/>
          <w:szCs w:val="24"/>
          <w:lang w:val="en-US" w:eastAsia="zh-CN"/>
        </w:rPr>
        <w:t>内容包含报名材料、技术标、商务标</w:t>
      </w:r>
      <w:r>
        <w:rPr>
          <w:rFonts w:hint="eastAsia"/>
          <w:sz w:val="24"/>
          <w:szCs w:val="24"/>
        </w:rPr>
        <w:t>。</w:t>
      </w:r>
    </w:p>
    <w:p w14:paraId="5E28BE42">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2.开标：投标截止后立即进行开标。具体开标时间、地点详见本招标文件“招投标日程表”。</w:t>
      </w:r>
    </w:p>
    <w:p w14:paraId="3F1BE3C1">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lang w:val="en-US" w:eastAsia="zh-CN"/>
        </w:rPr>
        <w:t>五、</w:t>
      </w:r>
      <w:r>
        <w:rPr>
          <w:rFonts w:hint="eastAsia" w:ascii="黑体" w:hAnsi="黑体" w:eastAsia="黑体" w:cs="黑体"/>
          <w:b w:val="0"/>
          <w:bCs w:val="0"/>
          <w:sz w:val="24"/>
          <w:szCs w:val="24"/>
        </w:rPr>
        <w:t>有下列情况之一者，投标文件无效</w:t>
      </w:r>
    </w:p>
    <w:p w14:paraId="0B372E93">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投标人名称与营业执照或资质证明文件不一致</w:t>
      </w:r>
      <w:r>
        <w:rPr>
          <w:rFonts w:hint="eastAsia"/>
          <w:sz w:val="24"/>
          <w:szCs w:val="24"/>
        </w:rPr>
        <w:t>；有编制技术错误的</w:t>
      </w:r>
      <w:r>
        <w:rPr>
          <w:rFonts w:hint="eastAsia"/>
          <w:sz w:val="24"/>
          <w:szCs w:val="24"/>
          <w:lang w:eastAsia="zh-CN"/>
        </w:rPr>
        <w:t>；</w:t>
      </w:r>
    </w:p>
    <w:p w14:paraId="26DA3C9E">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sz w:val="24"/>
          <w:szCs w:val="24"/>
          <w:lang w:val="en-US" w:eastAsia="zh-CN"/>
        </w:rPr>
      </w:pPr>
      <w:r>
        <w:rPr>
          <w:rFonts w:hint="eastAsia"/>
          <w:sz w:val="24"/>
          <w:szCs w:val="24"/>
        </w:rPr>
        <w:t>2、未按照招标文件要求封装</w:t>
      </w:r>
      <w:r>
        <w:rPr>
          <w:rFonts w:hint="eastAsia"/>
          <w:sz w:val="24"/>
          <w:szCs w:val="24"/>
          <w:lang w:val="en-US" w:eastAsia="zh-CN"/>
        </w:rPr>
        <w:t>或加盖公章的；</w:t>
      </w:r>
    </w:p>
    <w:p w14:paraId="51B7FF39">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rPr>
        <w:t>3、不能满足</w:t>
      </w:r>
      <w:r>
        <w:rPr>
          <w:rFonts w:hint="eastAsia"/>
          <w:sz w:val="24"/>
          <w:szCs w:val="24"/>
          <w:lang w:eastAsia="zh-CN"/>
        </w:rPr>
        <w:t>招标人</w:t>
      </w:r>
      <w:r>
        <w:rPr>
          <w:rFonts w:hint="eastAsia"/>
          <w:sz w:val="24"/>
          <w:szCs w:val="24"/>
          <w:lang w:val="en-US" w:eastAsia="zh-CN"/>
        </w:rPr>
        <w:t>工期</w:t>
      </w:r>
      <w:r>
        <w:rPr>
          <w:rFonts w:hint="eastAsia"/>
          <w:sz w:val="24"/>
          <w:szCs w:val="24"/>
        </w:rPr>
        <w:t>要求的；</w:t>
      </w:r>
    </w:p>
    <w:p w14:paraId="2F9A218F">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rPr>
        <w:t>4、</w:t>
      </w:r>
      <w:r>
        <w:rPr>
          <w:rFonts w:hint="eastAsia"/>
          <w:sz w:val="24"/>
          <w:szCs w:val="24"/>
          <w:lang w:val="en-US" w:eastAsia="zh-CN"/>
        </w:rPr>
        <w:t>投标人</w:t>
      </w:r>
      <w:r>
        <w:rPr>
          <w:rFonts w:hint="eastAsia"/>
          <w:sz w:val="24"/>
          <w:szCs w:val="24"/>
        </w:rPr>
        <w:t>所提供的证书和资料经查有弄虚作假行为的；</w:t>
      </w:r>
    </w:p>
    <w:p w14:paraId="5C86FC66">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rPr>
        <w:t>5 、投标单位在一份投标文件中，报有两个或多个报价，且未书面声明以哪个报价为准；</w:t>
      </w:r>
    </w:p>
    <w:p w14:paraId="2D595881">
      <w:pPr>
        <w:keepNext w:val="0"/>
        <w:keepLines w:val="0"/>
        <w:pageBreakBefore w:val="0"/>
        <w:widowControl w:val="0"/>
        <w:numPr>
          <w:ilvl w:val="0"/>
          <w:numId w:val="1"/>
        </w:numPr>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rPr>
        <w:t>其他未能实质性响应招标文件的</w:t>
      </w:r>
      <w:r>
        <w:rPr>
          <w:rFonts w:hint="eastAsia"/>
          <w:sz w:val="24"/>
          <w:szCs w:val="24"/>
          <w:lang w:eastAsia="zh-CN"/>
        </w:rPr>
        <w:t>；</w:t>
      </w:r>
    </w:p>
    <w:p w14:paraId="6309C614">
      <w:pPr>
        <w:keepNext w:val="0"/>
        <w:keepLines w:val="0"/>
        <w:pageBreakBefore w:val="0"/>
        <w:widowControl w:val="0"/>
        <w:numPr>
          <w:ilvl w:val="0"/>
          <w:numId w:val="0"/>
        </w:numPr>
        <w:kinsoku/>
        <w:wordWrap/>
        <w:overflowPunct/>
        <w:topLinePunct w:val="0"/>
        <w:bidi w:val="0"/>
        <w:snapToGrid/>
        <w:spacing w:line="560" w:lineRule="exact"/>
        <w:ind w:leftChars="200"/>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lang w:val="en-US" w:eastAsia="zh-CN"/>
          <w14:textFill>
            <w14:solidFill>
              <w14:schemeClr w14:val="tx1"/>
            </w14:solidFill>
          </w14:textFill>
        </w:rPr>
        <w:t>六</w:t>
      </w:r>
      <w:r>
        <w:rPr>
          <w:rFonts w:hint="eastAsia" w:ascii="黑体" w:hAnsi="黑体" w:eastAsia="黑体" w:cs="黑体"/>
          <w:b w:val="0"/>
          <w:bCs w:val="0"/>
          <w:color w:val="000000" w:themeColor="text1"/>
          <w:sz w:val="24"/>
          <w:szCs w:val="24"/>
          <w14:textFill>
            <w14:solidFill>
              <w14:schemeClr w14:val="tx1"/>
            </w14:solidFill>
          </w14:textFill>
        </w:rPr>
        <w:t>、废标处理</w:t>
      </w:r>
    </w:p>
    <w:p w14:paraId="57DA90D0">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在招标采购中，出现下列情形之一的，</w:t>
      </w:r>
      <w:r>
        <w:rPr>
          <w:rFonts w:hint="eastAsia"/>
          <w:color w:val="000000" w:themeColor="text1"/>
          <w:sz w:val="24"/>
          <w:szCs w:val="24"/>
          <w:lang w:eastAsia="zh-CN"/>
          <w14:textFill>
            <w14:solidFill>
              <w14:schemeClr w14:val="tx1"/>
            </w14:solidFill>
          </w14:textFill>
        </w:rPr>
        <w:t>招标人</w:t>
      </w:r>
      <w:r>
        <w:rPr>
          <w:rFonts w:hint="eastAsia"/>
          <w:color w:val="000000" w:themeColor="text1"/>
          <w:sz w:val="24"/>
          <w:szCs w:val="24"/>
          <w14:textFill>
            <w14:solidFill>
              <w14:schemeClr w14:val="tx1"/>
            </w14:solidFill>
          </w14:textFill>
        </w:rPr>
        <w:t>有权宣布废标：</w:t>
      </w:r>
    </w:p>
    <w:p w14:paraId="13C7ADA3">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1、符合专业条件的</w:t>
      </w:r>
      <w:r>
        <w:rPr>
          <w:rFonts w:hint="eastAsia"/>
          <w:color w:val="000000" w:themeColor="text1"/>
          <w:sz w:val="24"/>
          <w:szCs w:val="24"/>
          <w:lang w:eastAsia="zh-CN"/>
          <w14:textFill>
            <w14:solidFill>
              <w14:schemeClr w14:val="tx1"/>
            </w14:solidFill>
          </w14:textFill>
        </w:rPr>
        <w:t>投标人</w:t>
      </w:r>
      <w:r>
        <w:rPr>
          <w:rFonts w:hint="eastAsia"/>
          <w:color w:val="000000" w:themeColor="text1"/>
          <w:sz w:val="24"/>
          <w:szCs w:val="24"/>
          <w14:textFill>
            <w14:solidFill>
              <w14:schemeClr w14:val="tx1"/>
            </w14:solidFill>
          </w14:textFill>
        </w:rPr>
        <w:t>或对招标文件作实质响应的</w:t>
      </w:r>
      <w:r>
        <w:rPr>
          <w:rFonts w:hint="eastAsia"/>
          <w:color w:val="000000" w:themeColor="text1"/>
          <w:sz w:val="24"/>
          <w:szCs w:val="24"/>
          <w:lang w:eastAsia="zh-CN"/>
          <w14:textFill>
            <w14:solidFill>
              <w14:schemeClr w14:val="tx1"/>
            </w14:solidFill>
          </w14:textFill>
        </w:rPr>
        <w:t>投标人</w:t>
      </w:r>
      <w:r>
        <w:rPr>
          <w:rFonts w:hint="eastAsia"/>
          <w:color w:val="000000" w:themeColor="text1"/>
          <w:sz w:val="24"/>
          <w:szCs w:val="24"/>
          <w14:textFill>
            <w14:solidFill>
              <w14:schemeClr w14:val="tx1"/>
            </w14:solidFill>
          </w14:textFill>
        </w:rPr>
        <w:t>不足三家的；</w:t>
      </w:r>
    </w:p>
    <w:p w14:paraId="665A40DA">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w:t>
      </w:r>
      <w:r>
        <w:rPr>
          <w:rFonts w:hint="eastAsia"/>
          <w:color w:val="000000" w:themeColor="text1"/>
          <w:sz w:val="24"/>
          <w:szCs w:val="24"/>
          <w:lang w:eastAsia="zh-CN"/>
          <w14:textFill>
            <w14:solidFill>
              <w14:schemeClr w14:val="tx1"/>
            </w14:solidFill>
          </w14:textFill>
        </w:rPr>
        <w:t>投标人</w:t>
      </w:r>
      <w:r>
        <w:rPr>
          <w:rFonts w:hint="eastAsia"/>
          <w:color w:val="000000" w:themeColor="text1"/>
          <w:sz w:val="24"/>
          <w:szCs w:val="24"/>
          <w14:textFill>
            <w14:solidFill>
              <w14:schemeClr w14:val="tx1"/>
            </w14:solidFill>
          </w14:textFill>
        </w:rPr>
        <w:t>的报价均超过招标</w:t>
      </w:r>
      <w:r>
        <w:rPr>
          <w:rFonts w:hint="eastAsia"/>
          <w:color w:val="000000" w:themeColor="text1"/>
          <w:sz w:val="24"/>
          <w:szCs w:val="24"/>
          <w:lang w:val="en-US" w:eastAsia="zh-CN"/>
          <w14:textFill>
            <w14:solidFill>
              <w14:schemeClr w14:val="tx1"/>
            </w14:solidFill>
          </w14:textFill>
        </w:rPr>
        <w:t>控制价</w:t>
      </w:r>
      <w:r>
        <w:rPr>
          <w:rFonts w:hint="eastAsia"/>
          <w:color w:val="000000" w:themeColor="text1"/>
          <w:sz w:val="24"/>
          <w:szCs w:val="24"/>
          <w14:textFill>
            <w14:solidFill>
              <w14:schemeClr w14:val="tx1"/>
            </w14:solidFill>
          </w14:textFill>
        </w:rPr>
        <w:t>；</w:t>
      </w:r>
    </w:p>
    <w:p w14:paraId="22AAAB11">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3、出现影响采购公正的违法、违规行为的；</w:t>
      </w:r>
    </w:p>
    <w:p w14:paraId="5D1EF8B1">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4、因重大变故，招标任务取消的</w:t>
      </w:r>
      <w:r>
        <w:rPr>
          <w:rFonts w:hint="eastAsia"/>
          <w:color w:val="000000" w:themeColor="text1"/>
          <w:sz w:val="24"/>
          <w:szCs w:val="24"/>
          <w:lang w:eastAsia="zh-CN"/>
          <w14:textFill>
            <w14:solidFill>
              <w14:schemeClr w14:val="tx1"/>
            </w14:solidFill>
          </w14:textFill>
        </w:rPr>
        <w:t>；</w:t>
      </w:r>
    </w:p>
    <w:p w14:paraId="06839399">
      <w:pPr>
        <w:keepNext w:val="0"/>
        <w:keepLines w:val="0"/>
        <w:pageBreakBefore w:val="0"/>
        <w:widowControl w:val="0"/>
        <w:numPr>
          <w:ilvl w:val="0"/>
          <w:numId w:val="0"/>
        </w:numPr>
        <w:kinsoku/>
        <w:wordWrap/>
        <w:overflowPunct/>
        <w:topLinePunct w:val="0"/>
        <w:bidi w:val="0"/>
        <w:snapToGrid/>
        <w:spacing w:line="560" w:lineRule="exact"/>
        <w:ind w:left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w:t>
      </w:r>
      <w:r>
        <w:rPr>
          <w:rFonts w:hint="eastAsia"/>
          <w:sz w:val="24"/>
          <w:szCs w:val="24"/>
          <w:lang w:val="en-US" w:eastAsia="zh-CN"/>
        </w:rPr>
        <w:t>投标人之间存在法律法规明令禁止的关联关系。</w:t>
      </w:r>
    </w:p>
    <w:p w14:paraId="5D1EFDB2">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lang w:val="en-US" w:eastAsia="zh-CN"/>
        </w:rPr>
        <w:t>七</w:t>
      </w:r>
      <w:r>
        <w:rPr>
          <w:rFonts w:hint="eastAsia" w:ascii="黑体" w:hAnsi="黑体" w:eastAsia="黑体" w:cs="黑体"/>
          <w:b w:val="0"/>
          <w:bCs w:val="0"/>
          <w:sz w:val="24"/>
          <w:szCs w:val="24"/>
        </w:rPr>
        <w:t>、招投标日程表</w:t>
      </w:r>
    </w:p>
    <w:tbl>
      <w:tblPr>
        <w:tblStyle w:val="14"/>
        <w:tblW w:w="51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2175"/>
        <w:gridCol w:w="2265"/>
        <w:gridCol w:w="3594"/>
      </w:tblGrid>
      <w:tr w14:paraId="426A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exact"/>
          <w:jc w:val="center"/>
        </w:trPr>
        <w:tc>
          <w:tcPr>
            <w:tcW w:w="463" w:type="pct"/>
            <w:noWrap w:val="0"/>
            <w:vAlign w:val="center"/>
          </w:tcPr>
          <w:p w14:paraId="687DD4A8">
            <w:pPr>
              <w:spacing w:line="360" w:lineRule="auto"/>
              <w:jc w:val="center"/>
              <w:rPr>
                <w:rFonts w:hint="eastAsia" w:ascii="宋体" w:hAnsi="宋体"/>
                <w:b/>
                <w:sz w:val="24"/>
                <w:szCs w:val="24"/>
              </w:rPr>
            </w:pPr>
            <w:r>
              <w:rPr>
                <w:rFonts w:hint="eastAsia" w:ascii="宋体" w:hAnsi="宋体"/>
                <w:b/>
                <w:sz w:val="24"/>
                <w:szCs w:val="24"/>
              </w:rPr>
              <w:t>序号</w:t>
            </w:r>
          </w:p>
        </w:tc>
        <w:tc>
          <w:tcPr>
            <w:tcW w:w="1228" w:type="pct"/>
            <w:noWrap w:val="0"/>
            <w:vAlign w:val="center"/>
          </w:tcPr>
          <w:p w14:paraId="5DF19C60">
            <w:pPr>
              <w:spacing w:line="360" w:lineRule="auto"/>
              <w:jc w:val="center"/>
              <w:rPr>
                <w:rFonts w:hint="eastAsia" w:ascii="宋体" w:hAnsi="宋体"/>
                <w:b/>
                <w:sz w:val="24"/>
                <w:szCs w:val="24"/>
              </w:rPr>
            </w:pPr>
            <w:r>
              <w:rPr>
                <w:rFonts w:hint="eastAsia" w:ascii="宋体" w:hAnsi="宋体"/>
                <w:b/>
                <w:sz w:val="24"/>
                <w:szCs w:val="24"/>
              </w:rPr>
              <w:t>内容</w:t>
            </w:r>
          </w:p>
        </w:tc>
        <w:tc>
          <w:tcPr>
            <w:tcW w:w="1279" w:type="pct"/>
            <w:noWrap w:val="0"/>
            <w:vAlign w:val="center"/>
          </w:tcPr>
          <w:p w14:paraId="12E0733B">
            <w:pPr>
              <w:pStyle w:val="5"/>
              <w:spacing w:line="360" w:lineRule="auto"/>
              <w:jc w:val="center"/>
              <w:rPr>
                <w:rFonts w:hint="eastAsia" w:ascii="宋体" w:hAnsi="宋体" w:eastAsia="宋体"/>
                <w:b/>
                <w:sz w:val="24"/>
                <w:szCs w:val="24"/>
              </w:rPr>
            </w:pPr>
            <w:r>
              <w:rPr>
                <w:rFonts w:hint="eastAsia" w:ascii="宋体" w:hAnsi="宋体" w:eastAsia="宋体"/>
                <w:b/>
                <w:sz w:val="24"/>
                <w:szCs w:val="24"/>
              </w:rPr>
              <w:t>时间</w:t>
            </w:r>
          </w:p>
        </w:tc>
        <w:tc>
          <w:tcPr>
            <w:tcW w:w="2029" w:type="pct"/>
            <w:noWrap w:val="0"/>
            <w:vAlign w:val="center"/>
          </w:tcPr>
          <w:p w14:paraId="1B0194E7">
            <w:pPr>
              <w:spacing w:line="360" w:lineRule="auto"/>
              <w:jc w:val="center"/>
              <w:rPr>
                <w:rFonts w:hint="eastAsia" w:ascii="宋体" w:hAnsi="宋体"/>
                <w:b/>
                <w:sz w:val="24"/>
                <w:szCs w:val="24"/>
              </w:rPr>
            </w:pPr>
            <w:r>
              <w:rPr>
                <w:rFonts w:hint="eastAsia" w:ascii="宋体" w:hAnsi="宋体"/>
                <w:b/>
                <w:sz w:val="24"/>
                <w:szCs w:val="24"/>
              </w:rPr>
              <w:t>地点</w:t>
            </w:r>
          </w:p>
        </w:tc>
      </w:tr>
      <w:tr w14:paraId="222B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63" w:type="pct"/>
            <w:noWrap w:val="0"/>
            <w:vAlign w:val="center"/>
          </w:tcPr>
          <w:p w14:paraId="5E0EF07F">
            <w:pPr>
              <w:spacing w:line="360" w:lineRule="auto"/>
              <w:jc w:val="center"/>
              <w:rPr>
                <w:rFonts w:hint="eastAsia" w:ascii="宋体" w:hAnsi="宋体"/>
                <w:sz w:val="24"/>
                <w:szCs w:val="24"/>
                <w:highlight w:val="none"/>
              </w:rPr>
            </w:pPr>
            <w:r>
              <w:rPr>
                <w:rFonts w:hint="eastAsia" w:ascii="宋体" w:hAnsi="宋体"/>
                <w:sz w:val="24"/>
                <w:szCs w:val="24"/>
                <w:highlight w:val="none"/>
              </w:rPr>
              <w:t>1</w:t>
            </w:r>
          </w:p>
        </w:tc>
        <w:tc>
          <w:tcPr>
            <w:tcW w:w="1228" w:type="pct"/>
            <w:noWrap w:val="0"/>
            <w:vAlign w:val="center"/>
          </w:tcPr>
          <w:p w14:paraId="00474719">
            <w:pPr>
              <w:spacing w:line="360" w:lineRule="auto"/>
              <w:jc w:val="center"/>
              <w:rPr>
                <w:rFonts w:hint="eastAsia" w:ascii="宋体" w:hAnsi="宋体"/>
                <w:sz w:val="24"/>
                <w:szCs w:val="24"/>
                <w:highlight w:val="none"/>
              </w:rPr>
            </w:pPr>
            <w:r>
              <w:rPr>
                <w:rFonts w:hint="eastAsia" w:ascii="宋体" w:hAnsi="宋体"/>
                <w:sz w:val="24"/>
                <w:szCs w:val="24"/>
                <w:highlight w:val="none"/>
                <w:lang w:val="en-US" w:eastAsia="zh-CN"/>
              </w:rPr>
              <w:t>询价</w:t>
            </w:r>
            <w:r>
              <w:rPr>
                <w:rFonts w:hint="eastAsia" w:ascii="宋体" w:hAnsi="宋体"/>
                <w:sz w:val="24"/>
                <w:szCs w:val="24"/>
                <w:highlight w:val="none"/>
              </w:rPr>
              <w:t>文件发布</w:t>
            </w:r>
          </w:p>
        </w:tc>
        <w:tc>
          <w:tcPr>
            <w:tcW w:w="1279" w:type="pct"/>
            <w:noWrap w:val="0"/>
            <w:vAlign w:val="center"/>
          </w:tcPr>
          <w:p w14:paraId="5CF9E5F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color w:val="auto"/>
                <w:spacing w:val="0"/>
                <w:sz w:val="24"/>
                <w:szCs w:val="24"/>
                <w:highlight w:val="none"/>
                <w:lang w:val="en-US" w:eastAsia="zh-CN"/>
              </w:rPr>
            </w:pPr>
            <w:r>
              <w:rPr>
                <w:rFonts w:hint="eastAsia" w:ascii="宋体" w:hAnsi="宋体"/>
                <w:color w:val="auto"/>
                <w:spacing w:val="0"/>
                <w:sz w:val="24"/>
                <w:szCs w:val="24"/>
                <w:highlight w:val="none"/>
                <w:lang w:val="en-US" w:eastAsia="zh-CN"/>
              </w:rPr>
              <w:t>2026年8月3日</w:t>
            </w:r>
          </w:p>
          <w:p w14:paraId="7536631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olor w:val="auto"/>
                <w:spacing w:val="-10"/>
                <w:sz w:val="24"/>
                <w:szCs w:val="24"/>
                <w:highlight w:val="none"/>
                <w:lang w:val="en-US" w:eastAsia="zh-CN"/>
              </w:rPr>
            </w:pPr>
            <w:r>
              <w:rPr>
                <w:rFonts w:hint="eastAsia" w:ascii="宋体" w:hAnsi="宋体"/>
                <w:color w:val="auto"/>
                <w:spacing w:val="0"/>
                <w:sz w:val="24"/>
                <w:szCs w:val="24"/>
                <w:highlight w:val="none"/>
                <w:lang w:val="en-US" w:eastAsia="zh-CN"/>
              </w:rPr>
              <w:t>星期一15:00</w:t>
            </w:r>
          </w:p>
        </w:tc>
        <w:tc>
          <w:tcPr>
            <w:tcW w:w="2029" w:type="pct"/>
            <w:noWrap w:val="0"/>
            <w:vAlign w:val="center"/>
          </w:tcPr>
          <w:p w14:paraId="6029590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sz w:val="24"/>
                <w:szCs w:val="24"/>
                <w:highlight w:val="none"/>
                <w:lang w:val="en-US" w:eastAsia="zh-CN"/>
              </w:rPr>
            </w:pPr>
            <w:r>
              <w:rPr>
                <w:rFonts w:hint="eastAsia" w:ascii="宋体" w:hAnsi="宋体"/>
                <w:spacing w:val="0"/>
                <w:sz w:val="24"/>
                <w:szCs w:val="24"/>
                <w:highlight w:val="none"/>
                <w:lang w:val="en-US" w:eastAsia="zh-CN"/>
              </w:rPr>
              <w:t>芜湖滨江文旅投资运营有限公司官网</w:t>
            </w:r>
          </w:p>
        </w:tc>
      </w:tr>
      <w:tr w14:paraId="4E62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463" w:type="pct"/>
            <w:noWrap w:val="0"/>
            <w:vAlign w:val="center"/>
          </w:tcPr>
          <w:p w14:paraId="3A115FB8">
            <w:pPr>
              <w:spacing w:line="360" w:lineRule="auto"/>
              <w:jc w:val="center"/>
              <w:rPr>
                <w:rFonts w:hint="eastAsia" w:ascii="宋体" w:hAnsi="宋体"/>
                <w:sz w:val="24"/>
                <w:szCs w:val="24"/>
                <w:highlight w:val="none"/>
              </w:rPr>
            </w:pPr>
            <w:r>
              <w:rPr>
                <w:rFonts w:hint="eastAsia" w:ascii="宋体" w:hAnsi="宋体"/>
                <w:sz w:val="24"/>
                <w:szCs w:val="24"/>
                <w:highlight w:val="none"/>
              </w:rPr>
              <w:t>2</w:t>
            </w:r>
          </w:p>
        </w:tc>
        <w:tc>
          <w:tcPr>
            <w:tcW w:w="1228" w:type="pct"/>
            <w:noWrap w:val="0"/>
            <w:vAlign w:val="center"/>
          </w:tcPr>
          <w:p w14:paraId="51378DCB">
            <w:pPr>
              <w:spacing w:line="360" w:lineRule="auto"/>
              <w:jc w:val="center"/>
              <w:rPr>
                <w:rFonts w:hint="eastAsia" w:ascii="宋体" w:hAnsi="宋体"/>
                <w:sz w:val="24"/>
                <w:szCs w:val="24"/>
                <w:highlight w:val="none"/>
              </w:rPr>
            </w:pPr>
            <w:r>
              <w:rPr>
                <w:rFonts w:hint="eastAsia" w:ascii="宋体" w:hAnsi="宋体"/>
                <w:sz w:val="24"/>
                <w:szCs w:val="24"/>
                <w:highlight w:val="none"/>
                <w:lang w:val="en-US" w:eastAsia="zh-CN"/>
              </w:rPr>
              <w:t>询价</w:t>
            </w:r>
            <w:r>
              <w:rPr>
                <w:rFonts w:hint="eastAsia" w:ascii="宋体" w:hAnsi="宋体"/>
                <w:sz w:val="24"/>
                <w:szCs w:val="24"/>
                <w:highlight w:val="none"/>
              </w:rPr>
              <w:t>文件提交</w:t>
            </w:r>
          </w:p>
        </w:tc>
        <w:tc>
          <w:tcPr>
            <w:tcW w:w="1279" w:type="pct"/>
            <w:noWrap w:val="0"/>
            <w:vAlign w:val="center"/>
          </w:tcPr>
          <w:p w14:paraId="076BC65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color w:val="auto"/>
                <w:spacing w:val="0"/>
                <w:sz w:val="24"/>
                <w:szCs w:val="24"/>
                <w:highlight w:val="none"/>
                <w:lang w:val="en-US" w:eastAsia="zh-CN"/>
              </w:rPr>
            </w:pPr>
            <w:r>
              <w:rPr>
                <w:rFonts w:hint="eastAsia" w:ascii="宋体" w:hAnsi="宋体"/>
                <w:color w:val="auto"/>
                <w:spacing w:val="0"/>
                <w:sz w:val="24"/>
                <w:szCs w:val="24"/>
                <w:highlight w:val="none"/>
                <w:lang w:val="en-US" w:eastAsia="zh-CN"/>
              </w:rPr>
              <w:t>2026年8月6日</w:t>
            </w:r>
          </w:p>
          <w:p w14:paraId="4219438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olor w:val="auto"/>
                <w:spacing w:val="-10"/>
                <w:sz w:val="24"/>
                <w:szCs w:val="24"/>
                <w:highlight w:val="none"/>
                <w:lang w:val="en-US" w:eastAsia="zh-CN"/>
              </w:rPr>
            </w:pPr>
            <w:r>
              <w:rPr>
                <w:rFonts w:hint="eastAsia" w:ascii="宋体" w:hAnsi="宋体"/>
                <w:color w:val="auto"/>
                <w:spacing w:val="0"/>
                <w:sz w:val="24"/>
                <w:szCs w:val="24"/>
                <w:highlight w:val="none"/>
                <w:lang w:val="en-US" w:eastAsia="zh-CN"/>
              </w:rPr>
              <w:t>星期四15:00</w:t>
            </w:r>
          </w:p>
        </w:tc>
        <w:tc>
          <w:tcPr>
            <w:tcW w:w="2029" w:type="pct"/>
            <w:noWrap w:val="0"/>
            <w:vAlign w:val="center"/>
          </w:tcPr>
          <w:p w14:paraId="65A8B73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spacing w:val="0"/>
                <w:sz w:val="24"/>
                <w:szCs w:val="24"/>
                <w:highlight w:val="none"/>
                <w:lang w:val="en-US" w:eastAsia="zh-CN"/>
              </w:rPr>
            </w:pPr>
            <w:r>
              <w:rPr>
                <w:rFonts w:hint="eastAsia" w:ascii="宋体" w:hAnsi="宋体"/>
                <w:spacing w:val="0"/>
                <w:sz w:val="24"/>
                <w:szCs w:val="24"/>
                <w:highlight w:val="none"/>
                <w:lang w:val="en-US" w:eastAsia="zh-CN"/>
              </w:rPr>
              <w:t>芜湖市镜湖区华强广场</w:t>
            </w:r>
          </w:p>
          <w:p w14:paraId="6DA0FA5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spacing w:val="0"/>
                <w:sz w:val="24"/>
                <w:szCs w:val="24"/>
                <w:highlight w:val="none"/>
                <w:lang w:val="en-US" w:eastAsia="zh-CN"/>
              </w:rPr>
            </w:pPr>
            <w:r>
              <w:rPr>
                <w:rFonts w:hint="eastAsia" w:ascii="宋体" w:hAnsi="宋体"/>
                <w:spacing w:val="0"/>
                <w:sz w:val="24"/>
                <w:szCs w:val="24"/>
                <w:highlight w:val="none"/>
                <w:lang w:val="en-US" w:eastAsia="zh-CN"/>
              </w:rPr>
              <w:t>A栋1405室</w:t>
            </w:r>
          </w:p>
          <w:p w14:paraId="7EA65F4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sz w:val="24"/>
                <w:szCs w:val="24"/>
                <w:highlight w:val="none"/>
                <w:lang w:val="en-US" w:eastAsia="zh-CN"/>
              </w:rPr>
            </w:pPr>
            <w:r>
              <w:rPr>
                <w:rFonts w:hint="eastAsia" w:ascii="宋体" w:hAnsi="宋体"/>
                <w:spacing w:val="0"/>
                <w:sz w:val="24"/>
                <w:szCs w:val="24"/>
                <w:highlight w:val="none"/>
                <w:lang w:val="en-US" w:eastAsia="zh-CN"/>
              </w:rPr>
              <w:t>芜湖滨江文旅投资运营有限公司</w:t>
            </w:r>
          </w:p>
        </w:tc>
      </w:tr>
      <w:tr w14:paraId="04D0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63" w:type="pct"/>
            <w:noWrap w:val="0"/>
            <w:vAlign w:val="center"/>
          </w:tcPr>
          <w:p w14:paraId="521707B3">
            <w:pPr>
              <w:spacing w:line="360" w:lineRule="auto"/>
              <w:jc w:val="center"/>
              <w:rPr>
                <w:rFonts w:hint="eastAsia" w:ascii="宋体" w:hAnsi="宋体"/>
                <w:sz w:val="24"/>
                <w:szCs w:val="24"/>
                <w:highlight w:val="none"/>
              </w:rPr>
            </w:pPr>
            <w:r>
              <w:rPr>
                <w:rFonts w:hint="eastAsia" w:ascii="宋体" w:hAnsi="宋体"/>
                <w:sz w:val="24"/>
                <w:szCs w:val="24"/>
                <w:highlight w:val="none"/>
              </w:rPr>
              <w:t>3</w:t>
            </w:r>
          </w:p>
        </w:tc>
        <w:tc>
          <w:tcPr>
            <w:tcW w:w="1228" w:type="pct"/>
            <w:noWrap w:val="0"/>
            <w:vAlign w:val="center"/>
          </w:tcPr>
          <w:p w14:paraId="6BBFB4D9">
            <w:pPr>
              <w:spacing w:line="360" w:lineRule="auto"/>
              <w:jc w:val="center"/>
              <w:rPr>
                <w:rFonts w:hint="eastAsia" w:ascii="宋体" w:hAnsi="宋体"/>
                <w:sz w:val="24"/>
                <w:szCs w:val="24"/>
                <w:highlight w:val="none"/>
              </w:rPr>
            </w:pPr>
            <w:r>
              <w:rPr>
                <w:rFonts w:hint="eastAsia" w:ascii="宋体" w:hAnsi="宋体"/>
                <w:sz w:val="24"/>
                <w:szCs w:val="24"/>
                <w:highlight w:val="none"/>
              </w:rPr>
              <w:t>开标时间、地点</w:t>
            </w:r>
          </w:p>
        </w:tc>
        <w:tc>
          <w:tcPr>
            <w:tcW w:w="1279" w:type="pct"/>
            <w:noWrap w:val="0"/>
            <w:vAlign w:val="center"/>
          </w:tcPr>
          <w:p w14:paraId="3B9CBEC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color w:val="auto"/>
                <w:spacing w:val="0"/>
                <w:sz w:val="24"/>
                <w:szCs w:val="24"/>
                <w:highlight w:val="none"/>
                <w:lang w:val="en-US" w:eastAsia="zh-CN"/>
              </w:rPr>
            </w:pPr>
            <w:r>
              <w:rPr>
                <w:rFonts w:hint="eastAsia" w:ascii="宋体" w:hAnsi="宋体"/>
                <w:color w:val="auto"/>
                <w:spacing w:val="0"/>
                <w:sz w:val="24"/>
                <w:szCs w:val="24"/>
                <w:highlight w:val="none"/>
                <w:lang w:val="en-US" w:eastAsia="zh-CN"/>
              </w:rPr>
              <w:t>2026年8月6日</w:t>
            </w:r>
          </w:p>
          <w:p w14:paraId="6691C59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宋体" w:hAnsi="宋体" w:eastAsia="宋体"/>
                <w:color w:val="auto"/>
                <w:spacing w:val="-10"/>
                <w:sz w:val="24"/>
                <w:szCs w:val="24"/>
                <w:highlight w:val="none"/>
                <w:lang w:val="en-US" w:eastAsia="zh-CN"/>
              </w:rPr>
            </w:pPr>
            <w:r>
              <w:rPr>
                <w:rFonts w:hint="eastAsia" w:ascii="宋体" w:hAnsi="宋体"/>
                <w:color w:val="auto"/>
                <w:spacing w:val="0"/>
                <w:sz w:val="24"/>
                <w:szCs w:val="24"/>
                <w:highlight w:val="none"/>
                <w:lang w:val="en-US" w:eastAsia="zh-CN"/>
              </w:rPr>
              <w:t>星期四15:00</w:t>
            </w:r>
          </w:p>
        </w:tc>
        <w:tc>
          <w:tcPr>
            <w:tcW w:w="2029" w:type="pct"/>
            <w:noWrap w:val="0"/>
            <w:vAlign w:val="center"/>
          </w:tcPr>
          <w:p w14:paraId="42A6B73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spacing w:val="0"/>
                <w:sz w:val="24"/>
                <w:szCs w:val="24"/>
                <w:highlight w:val="none"/>
                <w:lang w:val="en-US" w:eastAsia="zh-CN"/>
              </w:rPr>
            </w:pPr>
            <w:r>
              <w:rPr>
                <w:rFonts w:hint="eastAsia" w:ascii="宋体" w:hAnsi="宋体"/>
                <w:spacing w:val="0"/>
                <w:sz w:val="24"/>
                <w:szCs w:val="24"/>
                <w:highlight w:val="none"/>
                <w:lang w:val="en-US" w:eastAsia="zh-CN"/>
              </w:rPr>
              <w:t>芜湖市镜湖区华强广场</w:t>
            </w:r>
          </w:p>
          <w:p w14:paraId="7E9C743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spacing w:val="0"/>
                <w:sz w:val="24"/>
                <w:szCs w:val="24"/>
                <w:highlight w:val="none"/>
                <w:lang w:val="en-US" w:eastAsia="zh-CN"/>
              </w:rPr>
            </w:pPr>
            <w:r>
              <w:rPr>
                <w:rFonts w:hint="eastAsia" w:ascii="宋体" w:hAnsi="宋体"/>
                <w:spacing w:val="0"/>
                <w:sz w:val="24"/>
                <w:szCs w:val="24"/>
                <w:highlight w:val="none"/>
                <w:lang w:val="en-US" w:eastAsia="zh-CN"/>
              </w:rPr>
              <w:t>A栋1405室</w:t>
            </w:r>
          </w:p>
          <w:p w14:paraId="407CB1E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宋体" w:hAnsi="宋体"/>
                <w:sz w:val="24"/>
                <w:szCs w:val="24"/>
                <w:highlight w:val="none"/>
              </w:rPr>
            </w:pPr>
            <w:r>
              <w:rPr>
                <w:rFonts w:hint="eastAsia" w:ascii="宋体" w:hAnsi="宋体"/>
                <w:spacing w:val="0"/>
                <w:sz w:val="24"/>
                <w:szCs w:val="24"/>
                <w:highlight w:val="none"/>
                <w:lang w:val="en-US" w:eastAsia="zh-CN"/>
              </w:rPr>
              <w:t>芜湖滨江文旅投资运营有限公司</w:t>
            </w:r>
          </w:p>
        </w:tc>
      </w:tr>
      <w:tr w14:paraId="60B7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5000" w:type="pct"/>
            <w:gridSpan w:val="4"/>
            <w:noWrap w:val="0"/>
            <w:vAlign w:val="center"/>
          </w:tcPr>
          <w:p w14:paraId="36122D2B">
            <w:pPr>
              <w:spacing w:line="360" w:lineRule="auto"/>
              <w:rPr>
                <w:rFonts w:hint="default" w:ascii="宋体" w:hAnsi="宋体" w:eastAsia="宋体"/>
                <w:sz w:val="24"/>
                <w:szCs w:val="24"/>
                <w:highlight w:val="none"/>
                <w:lang w:val="en-US" w:eastAsia="zh-CN"/>
              </w:rPr>
            </w:pPr>
            <w:r>
              <w:rPr>
                <w:rFonts w:hint="eastAsia" w:ascii="宋体" w:hAnsi="宋体" w:eastAsia="宋体" w:cs="宋体"/>
                <w:i w:val="0"/>
                <w:iCs w:val="0"/>
                <w:caps w:val="0"/>
                <w:color w:val="111111"/>
                <w:spacing w:val="0"/>
                <w:sz w:val="27"/>
                <w:szCs w:val="27"/>
                <w:shd w:val="clear" w:fill="FFFFFF"/>
              </w:rPr>
              <w:t>联系人：</w:t>
            </w:r>
            <w:r>
              <w:rPr>
                <w:rFonts w:ascii="微软雅黑" w:hAnsi="微软雅黑" w:eastAsia="微软雅黑" w:cs="微软雅黑"/>
                <w:i w:val="0"/>
                <w:iCs w:val="0"/>
                <w:caps w:val="0"/>
                <w:color w:val="111111"/>
                <w:spacing w:val="0"/>
                <w:sz w:val="27"/>
                <w:szCs w:val="27"/>
                <w:shd w:val="clear" w:fill="FFFFFF"/>
              </w:rPr>
              <w:t> </w:t>
            </w:r>
            <w:r>
              <w:rPr>
                <w:rFonts w:hint="eastAsia" w:ascii="宋体" w:hAnsi="宋体" w:eastAsia="宋体" w:cs="宋体"/>
                <w:i w:val="0"/>
                <w:iCs w:val="0"/>
                <w:caps w:val="0"/>
                <w:color w:val="111111"/>
                <w:spacing w:val="0"/>
                <w:sz w:val="27"/>
                <w:szCs w:val="27"/>
                <w:shd w:val="clear" w:fill="FFFFFF"/>
              </w:rPr>
              <w:t>李富强</w:t>
            </w:r>
            <w:r>
              <w:rPr>
                <w:rFonts w:hint="eastAsia" w:ascii="微软雅黑" w:hAnsi="微软雅黑" w:eastAsia="微软雅黑" w:cs="微软雅黑"/>
                <w:i w:val="0"/>
                <w:iCs w:val="0"/>
                <w:caps w:val="0"/>
                <w:color w:val="111111"/>
                <w:spacing w:val="0"/>
                <w:sz w:val="27"/>
                <w:szCs w:val="27"/>
                <w:shd w:val="clear" w:fill="FFFFFF"/>
              </w:rPr>
              <w:t>   </w:t>
            </w:r>
            <w:r>
              <w:rPr>
                <w:rFonts w:hint="eastAsia" w:ascii="宋体" w:hAnsi="宋体" w:eastAsia="宋体" w:cs="宋体"/>
                <w:i w:val="0"/>
                <w:iCs w:val="0"/>
                <w:caps w:val="0"/>
                <w:color w:val="111111"/>
                <w:spacing w:val="0"/>
                <w:sz w:val="27"/>
                <w:szCs w:val="27"/>
                <w:shd w:val="clear" w:fill="FFFFFF"/>
              </w:rPr>
              <w:t>；联系电话：17755170570 </w:t>
            </w:r>
          </w:p>
        </w:tc>
      </w:tr>
    </w:tbl>
    <w:p w14:paraId="4D3502A8">
      <w:pPr>
        <w:spacing w:line="360" w:lineRule="auto"/>
        <w:rPr>
          <w:rFonts w:hint="default" w:ascii="宋体" w:hAnsi="宋体" w:eastAsia="宋体"/>
          <w:sz w:val="24"/>
          <w:szCs w:val="24"/>
          <w:highlight w:val="none"/>
          <w:lang w:val="en-US" w:eastAsia="zh-CN"/>
        </w:rPr>
      </w:pPr>
      <w:r>
        <w:rPr>
          <w:rFonts w:hint="eastAsia"/>
          <w:sz w:val="24"/>
          <w:szCs w:val="24"/>
          <w:lang w:val="en-US" w:eastAsia="zh-CN"/>
        </w:rPr>
        <w:t>如有意向，请将投标报价文件于</w:t>
      </w:r>
      <w:r>
        <w:rPr>
          <w:rFonts w:hint="eastAsia"/>
          <w:color w:val="auto"/>
          <w:sz w:val="24"/>
          <w:szCs w:val="24"/>
          <w:lang w:val="en-US" w:eastAsia="zh-CN"/>
        </w:rPr>
        <w:t>2026年8月6日15:00</w:t>
      </w:r>
      <w:r>
        <w:rPr>
          <w:rFonts w:hint="eastAsia"/>
          <w:sz w:val="24"/>
          <w:szCs w:val="24"/>
          <w:lang w:val="en-US" w:eastAsia="zh-CN"/>
        </w:rPr>
        <w:t xml:space="preserve">前密封后送至芜湖市华强广场A栋1405室         </w:t>
      </w:r>
    </w:p>
    <w:p w14:paraId="32AAA806">
      <w:pPr>
        <w:keepNext w:val="0"/>
        <w:keepLines w:val="0"/>
        <w:pageBreakBefore w:val="0"/>
        <w:widowControl w:val="0"/>
        <w:numPr>
          <w:ilvl w:val="0"/>
          <w:numId w:val="0"/>
        </w:numPr>
        <w:kinsoku/>
        <w:wordWrap/>
        <w:overflowPunct/>
        <w:topLinePunct w:val="0"/>
        <w:autoSpaceDE/>
        <w:autoSpaceDN/>
        <w:bidi w:val="0"/>
        <w:spacing w:line="560" w:lineRule="exact"/>
        <w:ind w:firstLine="482" w:firstLineChars="200"/>
        <w:jc w:val="left"/>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八、施工周期要求</w:t>
      </w:r>
    </w:p>
    <w:p w14:paraId="061752BD">
      <w:pPr>
        <w:keepNext w:val="0"/>
        <w:keepLines w:val="0"/>
        <w:pageBreakBefore w:val="0"/>
        <w:widowControl w:val="0"/>
        <w:numPr>
          <w:ilvl w:val="0"/>
          <w:numId w:val="2"/>
        </w:numPr>
        <w:kinsoku/>
        <w:wordWrap/>
        <w:overflowPunct/>
        <w:topLinePunct w:val="0"/>
        <w:bidi w:val="0"/>
        <w:snapToGrid/>
        <w:spacing w:line="560" w:lineRule="exact"/>
        <w:ind w:firstLine="480" w:firstLineChars="200"/>
        <w:textAlignment w:val="auto"/>
        <w:rPr>
          <w:rFonts w:hint="eastAsia"/>
          <w:sz w:val="24"/>
          <w:szCs w:val="24"/>
        </w:rPr>
      </w:pPr>
      <w:r>
        <w:rPr>
          <w:rFonts w:hint="eastAsia"/>
          <w:sz w:val="24"/>
          <w:szCs w:val="24"/>
        </w:rPr>
        <w:t>合同</w:t>
      </w:r>
      <w:r>
        <w:rPr>
          <w:rFonts w:hint="eastAsia"/>
          <w:sz w:val="24"/>
          <w:szCs w:val="24"/>
          <w:lang w:val="en-US" w:eastAsia="zh-CN"/>
        </w:rPr>
        <w:t>工期10日历天</w:t>
      </w:r>
      <w:r>
        <w:rPr>
          <w:rFonts w:hint="eastAsia"/>
          <w:sz w:val="24"/>
          <w:szCs w:val="24"/>
        </w:rPr>
        <w:t>，</w:t>
      </w:r>
      <w:r>
        <w:rPr>
          <w:rFonts w:hint="eastAsia"/>
          <w:sz w:val="24"/>
          <w:szCs w:val="24"/>
          <w:lang w:val="en-US" w:eastAsia="zh-CN"/>
        </w:rPr>
        <w:t>具体开工时间以招标人通知为准</w:t>
      </w:r>
      <w:r>
        <w:rPr>
          <w:rFonts w:hint="eastAsia"/>
          <w:sz w:val="24"/>
          <w:szCs w:val="24"/>
        </w:rPr>
        <w:t>。</w:t>
      </w:r>
    </w:p>
    <w:p w14:paraId="38947313">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宋体" w:hAnsi="宋体" w:cs="宋体"/>
          <w:b/>
          <w:bCs/>
          <w:sz w:val="24"/>
          <w:szCs w:val="24"/>
          <w:highlight w:val="none"/>
          <w:u w:val="single"/>
          <w:lang w:val="en-US" w:eastAsia="zh-CN"/>
        </w:rPr>
      </w:pPr>
      <w:r>
        <w:rPr>
          <w:rFonts w:hint="eastAsia" w:ascii="宋体" w:hAnsi="宋体" w:cs="宋体"/>
          <w:b/>
          <w:bCs/>
          <w:sz w:val="24"/>
          <w:szCs w:val="24"/>
          <w:highlight w:val="none"/>
          <w:lang w:val="en-US" w:eastAsia="zh-CN"/>
        </w:rPr>
        <w:t>九、工程款支付</w:t>
      </w:r>
      <w:r>
        <w:rPr>
          <w:rFonts w:hint="eastAsia" w:ascii="宋体" w:hAnsi="宋体" w:cs="宋体"/>
          <w:b/>
          <w:bCs/>
          <w:sz w:val="24"/>
          <w:szCs w:val="24"/>
          <w:highlight w:val="none"/>
        </w:rPr>
        <w:t>方式：</w:t>
      </w:r>
    </w:p>
    <w:p w14:paraId="7FBEB1B7">
      <w:pPr>
        <w:keepNext w:val="0"/>
        <w:keepLines w:val="0"/>
        <w:pageBreakBefore w:val="0"/>
        <w:widowControl w:val="0"/>
        <w:numPr>
          <w:ilvl w:val="0"/>
          <w:numId w:val="0"/>
        </w:numPr>
        <w:kinsoku/>
        <w:wordWrap/>
        <w:overflowPunct/>
        <w:topLinePunct w:val="0"/>
        <w:bidi w:val="0"/>
        <w:snapToGrid/>
        <w:spacing w:line="560" w:lineRule="exact"/>
        <w:ind w:firstLine="480" w:firstLineChars="200"/>
        <w:textAlignment w:val="auto"/>
        <w:rPr>
          <w:rFonts w:hint="eastAsia"/>
          <w:sz w:val="24"/>
          <w:szCs w:val="24"/>
          <w:lang w:val="en-US" w:eastAsia="zh-CN"/>
        </w:rPr>
      </w:pPr>
      <w:r>
        <w:rPr>
          <w:rFonts w:hint="eastAsia"/>
          <w:sz w:val="24"/>
          <w:szCs w:val="24"/>
          <w:lang w:val="en-US" w:eastAsia="zh-CN"/>
        </w:rPr>
        <w:t>1、合同价:采用总价包干合同，付款前投标人需提供增值税专用发票。</w:t>
      </w:r>
    </w:p>
    <w:p w14:paraId="48AA782D">
      <w:pPr>
        <w:keepNext w:val="0"/>
        <w:keepLines w:val="0"/>
        <w:pageBreakBefore w:val="0"/>
        <w:widowControl w:val="0"/>
        <w:numPr>
          <w:ilvl w:val="0"/>
          <w:numId w:val="0"/>
        </w:numPr>
        <w:kinsoku/>
        <w:wordWrap/>
        <w:overflowPunct/>
        <w:topLinePunct w:val="0"/>
        <w:bidi w:val="0"/>
        <w:snapToGrid/>
        <w:spacing w:line="560" w:lineRule="exact"/>
        <w:ind w:firstLine="480" w:firstLineChars="200"/>
        <w:textAlignment w:val="auto"/>
        <w:rPr>
          <w:rFonts w:hint="eastAsia"/>
          <w:color w:val="auto"/>
          <w:sz w:val="24"/>
          <w:szCs w:val="24"/>
        </w:rPr>
      </w:pPr>
      <w:r>
        <w:rPr>
          <w:rFonts w:hint="eastAsia"/>
          <w:color w:val="auto"/>
          <w:sz w:val="24"/>
          <w:szCs w:val="24"/>
          <w:lang w:val="en-US" w:eastAsia="zh-CN"/>
        </w:rPr>
        <w:t xml:space="preserve">2、付款方式:工程竣工验收合格，承包人提交完整的竣工结算资料经发包人初审后付至已完产值的85%，最终审核完成后支付至最终审定价款的97%；余款3%作为质保金，待质量缺陷责任期（12个月）满且承包人完全履行了保修义务质量回访合格后一次付清（无息）   </w:t>
      </w:r>
    </w:p>
    <w:p w14:paraId="3760A728">
      <w:pPr>
        <w:keepNext w:val="0"/>
        <w:keepLines w:val="0"/>
        <w:pageBreakBefore w:val="0"/>
        <w:widowControl w:val="0"/>
        <w:kinsoku/>
        <w:wordWrap/>
        <w:overflowPunct/>
        <w:topLinePunct w:val="0"/>
        <w:autoSpaceDE/>
        <w:autoSpaceDN/>
        <w:bidi w:val="0"/>
        <w:adjustRightInd w:val="0"/>
        <w:snapToGrid w:val="0"/>
        <w:spacing w:line="560" w:lineRule="exact"/>
        <w:ind w:firstLine="482" w:firstLineChars="200"/>
        <w:textAlignment w:val="auto"/>
        <w:rPr>
          <w:rFonts w:hint="eastAsia" w:ascii="宋体" w:hAnsi="宋体" w:cs="宋体"/>
          <w:b/>
          <w:bCs/>
          <w:sz w:val="24"/>
          <w:szCs w:val="24"/>
          <w:highlight w:val="none"/>
        </w:rPr>
      </w:pPr>
      <w:r>
        <w:rPr>
          <w:rFonts w:hint="eastAsia" w:ascii="宋体" w:hAnsi="宋体" w:cs="宋体"/>
          <w:b/>
          <w:bCs/>
          <w:sz w:val="24"/>
          <w:szCs w:val="24"/>
          <w:highlight w:val="none"/>
          <w:lang w:val="en-US" w:eastAsia="zh-CN"/>
        </w:rPr>
        <w:t>十、工程质量保修</w:t>
      </w:r>
      <w:r>
        <w:rPr>
          <w:rFonts w:hint="eastAsia" w:ascii="宋体" w:hAnsi="宋体" w:cs="宋体"/>
          <w:b/>
          <w:bCs/>
          <w:sz w:val="24"/>
          <w:szCs w:val="24"/>
          <w:highlight w:val="none"/>
        </w:rPr>
        <w:t>：</w:t>
      </w:r>
    </w:p>
    <w:p w14:paraId="33E296F3">
      <w:pPr>
        <w:keepNext w:val="0"/>
        <w:keepLines w:val="0"/>
        <w:pageBreakBefore w:val="0"/>
        <w:widowControl w:val="0"/>
        <w:numPr>
          <w:ilvl w:val="0"/>
          <w:numId w:val="0"/>
        </w:numPr>
        <w:kinsoku/>
        <w:wordWrap/>
        <w:overflowPunct/>
        <w:topLinePunct w:val="0"/>
        <w:bidi w:val="0"/>
        <w:snapToGrid/>
        <w:spacing w:line="560" w:lineRule="exact"/>
        <w:ind w:firstLine="480" w:firstLineChars="200"/>
        <w:textAlignment w:val="auto"/>
        <w:rPr>
          <w:rFonts w:hint="eastAsia"/>
          <w:sz w:val="24"/>
          <w:szCs w:val="24"/>
          <w:lang w:val="en-US" w:eastAsia="zh-CN"/>
        </w:rPr>
      </w:pPr>
      <w:r>
        <w:rPr>
          <w:rFonts w:hint="eastAsia"/>
          <w:sz w:val="24"/>
          <w:szCs w:val="24"/>
          <w:lang w:val="en-US" w:eastAsia="zh-CN"/>
        </w:rPr>
        <w:t>1、该工程质量保修期限12个月。</w:t>
      </w:r>
    </w:p>
    <w:p w14:paraId="1C5CE1AC">
      <w:pPr>
        <w:pStyle w:val="3"/>
        <w:spacing w:line="500" w:lineRule="exact"/>
        <w:ind w:firstLine="0"/>
        <w:rPr>
          <w:rFonts w:hint="eastAsia"/>
          <w:sz w:val="24"/>
          <w:szCs w:val="24"/>
          <w:lang w:val="en-US" w:eastAsia="zh-CN"/>
        </w:rPr>
      </w:pPr>
      <w:bookmarkStart w:id="0" w:name="_Toc273602341"/>
      <w:bookmarkStart w:id="1" w:name="_Toc39733478"/>
      <w:bookmarkStart w:id="2" w:name="_Toc245092761"/>
      <w:bookmarkStart w:id="3" w:name="_Toc220232390"/>
      <w:bookmarkStart w:id="4" w:name="_Toc6595"/>
    </w:p>
    <w:p w14:paraId="551A96F0">
      <w:pPr>
        <w:rPr>
          <w:rFonts w:hint="eastAsia"/>
          <w:sz w:val="24"/>
          <w:szCs w:val="24"/>
          <w:lang w:val="en-US" w:eastAsia="zh-CN"/>
        </w:rPr>
      </w:pPr>
    </w:p>
    <w:p w14:paraId="0D7816A6">
      <w:pPr>
        <w:rPr>
          <w:rFonts w:hint="eastAsia"/>
          <w:sz w:val="24"/>
          <w:szCs w:val="24"/>
          <w:lang w:val="en-US" w:eastAsia="zh-CN"/>
        </w:rPr>
      </w:pPr>
    </w:p>
    <w:bookmarkEnd w:id="0"/>
    <w:bookmarkEnd w:id="1"/>
    <w:bookmarkEnd w:id="2"/>
    <w:bookmarkEnd w:id="3"/>
    <w:bookmarkEnd w:id="4"/>
    <w:p w14:paraId="5D5E8F2C">
      <w:pPr>
        <w:keepNext w:val="0"/>
        <w:keepLines w:val="0"/>
        <w:pageBreakBefore w:val="0"/>
        <w:widowControl w:val="0"/>
        <w:kinsoku/>
        <w:wordWrap/>
        <w:overflowPunct/>
        <w:topLinePunct w:val="0"/>
        <w:autoSpaceDE/>
        <w:autoSpaceDN/>
        <w:bidi w:val="0"/>
        <w:spacing w:line="360" w:lineRule="auto"/>
        <w:jc w:val="both"/>
        <w:textAlignment w:val="auto"/>
        <w:rPr>
          <w:rFonts w:hint="eastAsia" w:ascii="宋体" w:hAnsi="宋体" w:eastAsia="宋体"/>
          <w:b/>
          <w:bCs/>
          <w:sz w:val="44"/>
          <w:szCs w:val="44"/>
          <w:highlight w:val="none"/>
          <w:lang w:val="en-US" w:eastAsia="zh-CN"/>
        </w:rPr>
      </w:pPr>
    </w:p>
    <w:p w14:paraId="412C884C">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7CE79196">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0295BB34">
      <w:pPr>
        <w:keepNext w:val="0"/>
        <w:keepLines w:val="0"/>
        <w:pageBreakBefore w:val="0"/>
        <w:widowControl w:val="0"/>
        <w:kinsoku/>
        <w:wordWrap/>
        <w:overflowPunct/>
        <w:topLinePunct w:val="0"/>
        <w:bidi w:val="0"/>
        <w:snapToGrid/>
        <w:spacing w:line="240" w:lineRule="auto"/>
        <w:jc w:val="both"/>
        <w:textAlignment w:val="auto"/>
        <w:rPr>
          <w:rFonts w:hint="eastAsia"/>
          <w:color w:val="auto"/>
          <w:sz w:val="24"/>
          <w:szCs w:val="24"/>
          <w:lang w:val="en-US" w:eastAsia="zh-CN"/>
        </w:rPr>
      </w:pPr>
      <w:r>
        <w:rPr>
          <w:rFonts w:hint="eastAsia"/>
          <w:color w:val="auto"/>
          <w:sz w:val="24"/>
          <w:szCs w:val="24"/>
          <w:lang w:val="en-US" w:eastAsia="zh-CN"/>
        </w:rPr>
        <w:t>招标清单内材料按品牌表格执行：</w:t>
      </w:r>
    </w:p>
    <w:p w14:paraId="4FAECA7F">
      <w:pPr>
        <w:keepNext w:val="0"/>
        <w:keepLines w:val="0"/>
        <w:pageBreakBefore w:val="0"/>
        <w:widowControl w:val="0"/>
        <w:kinsoku/>
        <w:wordWrap/>
        <w:overflowPunct/>
        <w:topLinePunct w:val="0"/>
        <w:bidi w:val="0"/>
        <w:snapToGrid/>
        <w:spacing w:line="240" w:lineRule="auto"/>
        <w:jc w:val="both"/>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drawing>
          <wp:inline distT="0" distB="0" distL="114300" distR="114300">
            <wp:extent cx="5265420" cy="7042150"/>
            <wp:effectExtent l="0" t="0" r="2540" b="6985"/>
            <wp:docPr id="2" name="图片 2" descr="招标品牌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招标品牌表"/>
                    <pic:cNvPicPr>
                      <a:picLocks noChangeAspect="1"/>
                    </pic:cNvPicPr>
                  </pic:nvPicPr>
                  <pic:blipFill>
                    <a:blip r:embed="rId4"/>
                    <a:stretch>
                      <a:fillRect/>
                    </a:stretch>
                  </pic:blipFill>
                  <pic:spPr>
                    <a:xfrm>
                      <a:off x="0" y="0"/>
                      <a:ext cx="5265420" cy="7042150"/>
                    </a:xfrm>
                    <a:prstGeom prst="rect">
                      <a:avLst/>
                    </a:prstGeom>
                  </pic:spPr>
                </pic:pic>
              </a:graphicData>
            </a:graphic>
          </wp:inline>
        </w:drawing>
      </w:r>
    </w:p>
    <w:p w14:paraId="52AD2311">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2A2830FF">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4FF341F9">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6E0F335B">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val="0"/>
          <w:bCs/>
          <w:sz w:val="44"/>
          <w:szCs w:val="44"/>
          <w:lang w:val="en-US" w:eastAsia="zh-CN"/>
        </w:rPr>
      </w:pPr>
    </w:p>
    <w:p w14:paraId="39BEE34D">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第二章 评标办法</w:t>
      </w:r>
    </w:p>
    <w:p w14:paraId="0D1C9F09">
      <w:pPr>
        <w:tabs>
          <w:tab w:val="left" w:pos="360"/>
          <w:tab w:val="left" w:pos="540"/>
          <w:tab w:val="left" w:pos="3600"/>
          <w:tab w:val="left" w:pos="3780"/>
          <w:tab w:val="left" w:pos="8460"/>
          <w:tab w:val="left" w:pos="9180"/>
        </w:tabs>
        <w:adjustRightInd w:val="0"/>
        <w:snapToGrid w:val="0"/>
        <w:spacing w:line="360" w:lineRule="auto"/>
        <w:jc w:val="center"/>
        <w:rPr>
          <w:rFonts w:hint="eastAsia" w:ascii="宋体" w:hAnsi="宋体"/>
          <w:b/>
          <w:sz w:val="24"/>
          <w:highlight w:val="none"/>
        </w:rPr>
      </w:pPr>
    </w:p>
    <w:p w14:paraId="6E2F6046">
      <w:pPr>
        <w:keepNext w:val="0"/>
        <w:keepLines w:val="0"/>
        <w:pageBreakBefore w:val="0"/>
        <w:widowControl w:val="0"/>
        <w:kinsoku/>
        <w:wordWrap/>
        <w:overflowPunct/>
        <w:topLinePunct w:val="0"/>
        <w:autoSpaceDE/>
        <w:autoSpaceDN/>
        <w:bidi w:val="0"/>
        <w:adjustRightInd w:val="0"/>
        <w:snapToGrid w:val="0"/>
        <w:spacing w:line="360" w:lineRule="auto"/>
        <w:ind w:right="-10" w:firstLine="482" w:firstLineChars="200"/>
        <w:textAlignment w:val="auto"/>
        <w:rPr>
          <w:rFonts w:hint="eastAsia" w:ascii="宋体" w:hAnsi="宋体"/>
          <w:sz w:val="24"/>
          <w:highlight w:val="none"/>
        </w:rPr>
      </w:pPr>
      <w:r>
        <w:rPr>
          <w:rFonts w:hint="eastAsia" w:ascii="宋体" w:hAnsi="宋体"/>
          <w:b/>
          <w:bCs/>
          <w:sz w:val="24"/>
          <w:highlight w:val="none"/>
        </w:rPr>
        <w:t xml:space="preserve">第一条 </w:t>
      </w:r>
      <w:r>
        <w:rPr>
          <w:rFonts w:hint="eastAsia" w:ascii="宋体" w:hAnsi="宋体"/>
          <w:sz w:val="24"/>
          <w:highlight w:val="none"/>
        </w:rPr>
        <w:t>为了做好项目的招标评标工作，保证项目评审工作的正常有序进行，依据《中华人民共和国政府采购法》、《中华人民共和国招标投标法》及其它相关法律法规，本着公开、公平、公正的原则，制定评标办法。</w:t>
      </w:r>
    </w:p>
    <w:p w14:paraId="3BF3F473">
      <w:pPr>
        <w:keepNext w:val="0"/>
        <w:keepLines w:val="0"/>
        <w:pageBreakBefore w:val="0"/>
        <w:widowControl w:val="0"/>
        <w:kinsoku/>
        <w:wordWrap/>
        <w:overflowPunct/>
        <w:topLinePunct w:val="0"/>
        <w:autoSpaceDE/>
        <w:autoSpaceDN/>
        <w:bidi w:val="0"/>
        <w:adjustRightInd w:val="0"/>
        <w:snapToGrid w:val="0"/>
        <w:spacing w:line="360" w:lineRule="auto"/>
        <w:ind w:right="-10" w:firstLine="482" w:firstLineChars="200"/>
        <w:textAlignment w:val="auto"/>
        <w:rPr>
          <w:rFonts w:hint="eastAsia" w:ascii="宋体" w:hAnsi="宋体"/>
          <w:sz w:val="24"/>
          <w:highlight w:val="none"/>
        </w:rPr>
      </w:pPr>
      <w:r>
        <w:rPr>
          <w:rFonts w:hint="eastAsia" w:ascii="宋体" w:hAnsi="宋体"/>
          <w:b/>
          <w:bCs/>
          <w:sz w:val="24"/>
          <w:highlight w:val="none"/>
        </w:rPr>
        <w:t xml:space="preserve">第二条 </w:t>
      </w:r>
      <w:r>
        <w:rPr>
          <w:rFonts w:hint="eastAsia" w:ascii="宋体" w:hAnsi="宋体"/>
          <w:sz w:val="24"/>
          <w:highlight w:val="none"/>
        </w:rPr>
        <w:t>本次项目评标采用</w:t>
      </w:r>
      <w:r>
        <w:rPr>
          <w:rFonts w:hint="eastAsia" w:ascii="宋体" w:hAnsi="宋体"/>
          <w:b/>
          <w:sz w:val="24"/>
          <w:highlight w:val="none"/>
        </w:rPr>
        <w:t>综合评分法</w:t>
      </w:r>
      <w:r>
        <w:rPr>
          <w:rFonts w:hint="eastAsia" w:ascii="宋体" w:hAnsi="宋体"/>
          <w:sz w:val="24"/>
          <w:highlight w:val="none"/>
        </w:rPr>
        <w:t>作为对投标人标书的比较方法</w:t>
      </w:r>
      <w:r>
        <w:rPr>
          <w:rFonts w:hint="eastAsia" w:ascii="宋体" w:hAnsi="宋体" w:cs="宋体-18030"/>
          <w:sz w:val="24"/>
          <w:highlight w:val="none"/>
        </w:rPr>
        <w:t>。</w:t>
      </w:r>
    </w:p>
    <w:p w14:paraId="7B1B695D">
      <w:pPr>
        <w:keepNext w:val="0"/>
        <w:keepLines w:val="0"/>
        <w:pageBreakBefore w:val="0"/>
        <w:widowControl w:val="0"/>
        <w:kinsoku/>
        <w:wordWrap/>
        <w:overflowPunct/>
        <w:topLinePunct w:val="0"/>
        <w:autoSpaceDE/>
        <w:autoSpaceDN/>
        <w:bidi w:val="0"/>
        <w:adjustRightInd w:val="0"/>
        <w:snapToGrid w:val="0"/>
        <w:spacing w:line="360" w:lineRule="auto"/>
        <w:ind w:right="-10" w:firstLine="482" w:firstLineChars="200"/>
        <w:textAlignment w:val="auto"/>
        <w:rPr>
          <w:rFonts w:hint="eastAsia" w:ascii="宋体" w:hAnsi="宋体"/>
          <w:sz w:val="24"/>
          <w:highlight w:val="none"/>
        </w:rPr>
      </w:pPr>
      <w:r>
        <w:rPr>
          <w:rFonts w:hint="eastAsia" w:ascii="宋体" w:hAnsi="宋体"/>
          <w:b/>
          <w:bCs/>
          <w:sz w:val="24"/>
          <w:highlight w:val="none"/>
        </w:rPr>
        <w:t xml:space="preserve">第三条 </w:t>
      </w:r>
      <w:r>
        <w:rPr>
          <w:rFonts w:hint="eastAsia" w:ascii="宋体" w:hAnsi="宋体"/>
          <w:sz w:val="24"/>
          <w:highlight w:val="none"/>
        </w:rPr>
        <w:t>采购人将组织不少于</w:t>
      </w:r>
      <w:r>
        <w:rPr>
          <w:rFonts w:hint="eastAsia" w:ascii="宋体" w:hAnsi="宋体"/>
          <w:sz w:val="24"/>
          <w:highlight w:val="none"/>
          <w:u w:val="single"/>
          <w:lang w:val="en-US" w:eastAsia="zh-CN"/>
        </w:rPr>
        <w:t>3</w:t>
      </w:r>
      <w:r>
        <w:rPr>
          <w:rFonts w:hint="eastAsia" w:ascii="宋体" w:hAnsi="宋体"/>
          <w:sz w:val="24"/>
          <w:highlight w:val="none"/>
        </w:rPr>
        <w:t>人组成的评标委员会（以下简称评委会），负责本项目的评标工作。采购人内部监督小组，负责评标过程中的记录、联络及评委会交办的其他工作。</w:t>
      </w:r>
    </w:p>
    <w:p w14:paraId="3B2FCADC">
      <w:pPr>
        <w:keepNext w:val="0"/>
        <w:keepLines w:val="0"/>
        <w:pageBreakBefore w:val="0"/>
        <w:widowControl w:val="0"/>
        <w:kinsoku/>
        <w:wordWrap/>
        <w:overflowPunct/>
        <w:topLinePunct w:val="0"/>
        <w:autoSpaceDE/>
        <w:autoSpaceDN/>
        <w:bidi w:val="0"/>
        <w:adjustRightInd w:val="0"/>
        <w:snapToGrid w:val="0"/>
        <w:spacing w:line="360" w:lineRule="auto"/>
        <w:ind w:right="-10" w:firstLine="482" w:firstLineChars="200"/>
        <w:textAlignment w:val="auto"/>
        <w:rPr>
          <w:rFonts w:hint="eastAsia"/>
        </w:rPr>
      </w:pPr>
      <w:r>
        <w:rPr>
          <w:rFonts w:hint="eastAsia" w:ascii="宋体" w:hAnsi="宋体"/>
          <w:b/>
          <w:sz w:val="24"/>
          <w:highlight w:val="none"/>
        </w:rPr>
        <w:t xml:space="preserve">第四条 </w:t>
      </w:r>
      <w:r>
        <w:rPr>
          <w:rFonts w:hint="eastAsia" w:ascii="宋体" w:hAnsi="宋体"/>
          <w:sz w:val="24"/>
          <w:highlight w:val="none"/>
        </w:rPr>
        <w:t>评委会按照“客观公正，实事求是”的原则，评价参加本次招标的投标人所提供的服务对招标文件的符合性及响应性。</w:t>
      </w:r>
    </w:p>
    <w:p w14:paraId="4139C2F6">
      <w:pPr>
        <w:keepNext w:val="0"/>
        <w:keepLines w:val="0"/>
        <w:pageBreakBefore w:val="0"/>
        <w:widowControl w:val="0"/>
        <w:kinsoku/>
        <w:wordWrap/>
        <w:overflowPunct/>
        <w:topLinePunct w:val="0"/>
        <w:autoSpaceDE/>
        <w:autoSpaceDN/>
        <w:bidi w:val="0"/>
        <w:adjustRightInd w:val="0"/>
        <w:snapToGrid w:val="0"/>
        <w:spacing w:line="360" w:lineRule="auto"/>
        <w:ind w:right="-10" w:firstLine="480"/>
        <w:textAlignment w:val="auto"/>
        <w:rPr>
          <w:rFonts w:hint="eastAsia" w:ascii="宋体" w:hAnsi="宋体"/>
          <w:sz w:val="24"/>
          <w:highlight w:val="none"/>
        </w:rPr>
      </w:pPr>
      <w:r>
        <w:rPr>
          <w:rFonts w:hint="eastAsia" w:ascii="宋体" w:hAnsi="宋体"/>
          <w:b/>
          <w:sz w:val="24"/>
          <w:highlight w:val="none"/>
        </w:rPr>
        <w:t>第五条</w:t>
      </w:r>
      <w:r>
        <w:rPr>
          <w:rFonts w:hint="eastAsia" w:ascii="宋体" w:hAnsi="宋体"/>
          <w:sz w:val="24"/>
          <w:highlight w:val="none"/>
        </w:rPr>
        <w:t xml:space="preserve"> 评标工作于开标后进行。评委会应认真研究招标文件，至少应了解和熟悉以下内容：</w:t>
      </w:r>
    </w:p>
    <w:p w14:paraId="317172A9">
      <w:pPr>
        <w:keepNext w:val="0"/>
        <w:keepLines w:val="0"/>
        <w:pageBreakBefore w:val="0"/>
        <w:widowControl w:val="0"/>
        <w:kinsoku/>
        <w:wordWrap/>
        <w:overflowPunct/>
        <w:topLinePunct w:val="0"/>
        <w:autoSpaceDE/>
        <w:autoSpaceDN/>
        <w:bidi w:val="0"/>
        <w:spacing w:line="360" w:lineRule="auto"/>
        <w:ind w:left="480" w:right="-10"/>
        <w:textAlignment w:val="auto"/>
        <w:rPr>
          <w:rFonts w:hint="eastAsia" w:ascii="宋体" w:hAnsi="宋体"/>
          <w:sz w:val="24"/>
          <w:highlight w:val="none"/>
        </w:rPr>
      </w:pPr>
      <w:r>
        <w:rPr>
          <w:rFonts w:hint="eastAsia" w:ascii="宋体" w:hAnsi="宋体"/>
          <w:sz w:val="24"/>
          <w:highlight w:val="none"/>
        </w:rPr>
        <w:t>（一）招标的目标；</w:t>
      </w:r>
    </w:p>
    <w:p w14:paraId="68E93755">
      <w:pPr>
        <w:keepNext w:val="0"/>
        <w:keepLines w:val="0"/>
        <w:pageBreakBefore w:val="0"/>
        <w:widowControl w:val="0"/>
        <w:kinsoku/>
        <w:wordWrap/>
        <w:overflowPunct/>
        <w:topLinePunct w:val="0"/>
        <w:autoSpaceDE/>
        <w:autoSpaceDN/>
        <w:bidi w:val="0"/>
        <w:spacing w:line="360" w:lineRule="auto"/>
        <w:ind w:left="480" w:right="-10"/>
        <w:textAlignment w:val="auto"/>
        <w:rPr>
          <w:rFonts w:hint="eastAsia" w:ascii="宋体" w:hAnsi="宋体"/>
          <w:sz w:val="24"/>
          <w:highlight w:val="none"/>
        </w:rPr>
      </w:pPr>
      <w:r>
        <w:rPr>
          <w:rFonts w:hint="eastAsia" w:ascii="宋体" w:hAnsi="宋体"/>
          <w:sz w:val="24"/>
          <w:highlight w:val="none"/>
        </w:rPr>
        <w:t>（二）招标项目的范围和性质；</w:t>
      </w:r>
    </w:p>
    <w:p w14:paraId="6AA78DF4">
      <w:pPr>
        <w:keepNext w:val="0"/>
        <w:keepLines w:val="0"/>
        <w:pageBreakBefore w:val="0"/>
        <w:widowControl w:val="0"/>
        <w:kinsoku/>
        <w:wordWrap/>
        <w:overflowPunct/>
        <w:topLinePunct w:val="0"/>
        <w:autoSpaceDE/>
        <w:autoSpaceDN/>
        <w:bidi w:val="0"/>
        <w:spacing w:line="360" w:lineRule="auto"/>
        <w:ind w:left="480" w:right="-10"/>
        <w:textAlignment w:val="auto"/>
        <w:rPr>
          <w:rFonts w:hint="eastAsia" w:ascii="宋体" w:hAnsi="宋体"/>
          <w:sz w:val="24"/>
          <w:highlight w:val="none"/>
        </w:rPr>
      </w:pPr>
      <w:r>
        <w:rPr>
          <w:rFonts w:hint="eastAsia" w:ascii="宋体" w:hAnsi="宋体"/>
          <w:sz w:val="24"/>
          <w:highlight w:val="none"/>
        </w:rPr>
        <w:t>（三）招标文件中规定的主要服务要求、标准和商务条款；</w:t>
      </w:r>
    </w:p>
    <w:p w14:paraId="299D6088">
      <w:pPr>
        <w:keepNext w:val="0"/>
        <w:keepLines w:val="0"/>
        <w:pageBreakBefore w:val="0"/>
        <w:widowControl w:val="0"/>
        <w:kinsoku/>
        <w:wordWrap/>
        <w:overflowPunct/>
        <w:topLinePunct w:val="0"/>
        <w:autoSpaceDE/>
        <w:autoSpaceDN/>
        <w:bidi w:val="0"/>
        <w:spacing w:line="360" w:lineRule="auto"/>
        <w:ind w:left="480" w:right="-10"/>
        <w:textAlignment w:val="auto"/>
        <w:rPr>
          <w:rFonts w:hint="eastAsia" w:ascii="宋体" w:hAnsi="宋体"/>
          <w:sz w:val="24"/>
          <w:highlight w:val="none"/>
        </w:rPr>
      </w:pPr>
      <w:r>
        <w:rPr>
          <w:rFonts w:hint="eastAsia" w:ascii="宋体" w:hAnsi="宋体"/>
          <w:sz w:val="24"/>
          <w:highlight w:val="none"/>
        </w:rPr>
        <w:t>（四）招标文件规定的评标标准、评标方法和在评标过程中考虑的相关因素。</w:t>
      </w:r>
    </w:p>
    <w:p w14:paraId="1AC1DC04">
      <w:pPr>
        <w:keepNext w:val="0"/>
        <w:keepLines w:val="0"/>
        <w:pageBreakBefore w:val="0"/>
        <w:widowControl w:val="0"/>
        <w:kinsoku/>
        <w:wordWrap/>
        <w:overflowPunct/>
        <w:topLinePunct w:val="0"/>
        <w:autoSpaceDE/>
        <w:autoSpaceDN/>
        <w:bidi w:val="0"/>
        <w:adjustRightInd w:val="0"/>
        <w:snapToGrid w:val="0"/>
        <w:spacing w:line="360" w:lineRule="auto"/>
        <w:ind w:right="-10" w:firstLine="482" w:firstLineChars="200"/>
        <w:textAlignment w:val="auto"/>
        <w:rPr>
          <w:rFonts w:hint="eastAsia" w:ascii="宋体" w:hAnsi="宋体"/>
          <w:sz w:val="24"/>
          <w:highlight w:val="none"/>
        </w:rPr>
      </w:pPr>
      <w:r>
        <w:rPr>
          <w:rFonts w:hint="eastAsia" w:ascii="宋体" w:hAnsi="宋体"/>
          <w:b/>
          <w:sz w:val="24"/>
          <w:highlight w:val="none"/>
        </w:rPr>
        <w:t>第六条</w:t>
      </w:r>
      <w:r>
        <w:rPr>
          <w:rFonts w:hint="eastAsia" w:ascii="宋体" w:hAnsi="宋体"/>
          <w:sz w:val="24"/>
          <w:highlight w:val="none"/>
        </w:rPr>
        <w:t xml:space="preserve"> 有效投标应符合以下原则：</w:t>
      </w:r>
    </w:p>
    <w:p w14:paraId="25082D13">
      <w:pPr>
        <w:keepNext w:val="0"/>
        <w:keepLines w:val="0"/>
        <w:pageBreakBefore w:val="0"/>
        <w:widowControl w:val="0"/>
        <w:kinsoku/>
        <w:wordWrap/>
        <w:overflowPunct/>
        <w:topLinePunct w:val="0"/>
        <w:autoSpaceDE/>
        <w:autoSpaceDN/>
        <w:bidi w:val="0"/>
        <w:spacing w:line="360" w:lineRule="auto"/>
        <w:ind w:left="480" w:right="-10"/>
        <w:textAlignment w:val="auto"/>
        <w:rPr>
          <w:rFonts w:hint="eastAsia" w:ascii="宋体" w:hAnsi="宋体"/>
          <w:sz w:val="24"/>
          <w:highlight w:val="none"/>
        </w:rPr>
      </w:pPr>
      <w:r>
        <w:rPr>
          <w:rFonts w:hint="eastAsia" w:ascii="宋体" w:hAnsi="宋体"/>
          <w:sz w:val="24"/>
          <w:highlight w:val="none"/>
        </w:rPr>
        <w:t>（一）完全响应招标文件要求；</w:t>
      </w:r>
    </w:p>
    <w:p w14:paraId="0964C776">
      <w:pPr>
        <w:keepNext w:val="0"/>
        <w:keepLines w:val="0"/>
        <w:pageBreakBefore w:val="0"/>
        <w:widowControl w:val="0"/>
        <w:kinsoku/>
        <w:wordWrap/>
        <w:overflowPunct/>
        <w:topLinePunct w:val="0"/>
        <w:autoSpaceDE/>
        <w:autoSpaceDN/>
        <w:bidi w:val="0"/>
        <w:spacing w:line="360" w:lineRule="auto"/>
        <w:ind w:left="480" w:right="-10"/>
        <w:textAlignment w:val="auto"/>
        <w:rPr>
          <w:rFonts w:hint="eastAsia" w:ascii="宋体" w:hAnsi="宋体"/>
          <w:sz w:val="24"/>
          <w:highlight w:val="none"/>
        </w:rPr>
      </w:pPr>
      <w:r>
        <w:rPr>
          <w:rFonts w:hint="eastAsia" w:ascii="宋体" w:hAnsi="宋体"/>
          <w:sz w:val="24"/>
          <w:highlight w:val="none"/>
        </w:rPr>
        <w:t>（二）无重大偏离、保留或招标人不能接受的附加条件；</w:t>
      </w:r>
    </w:p>
    <w:p w14:paraId="14DB1754">
      <w:pPr>
        <w:keepNext w:val="0"/>
        <w:keepLines w:val="0"/>
        <w:pageBreakBefore w:val="0"/>
        <w:widowControl w:val="0"/>
        <w:kinsoku/>
        <w:wordWrap/>
        <w:overflowPunct/>
        <w:topLinePunct w:val="0"/>
        <w:autoSpaceDE/>
        <w:autoSpaceDN/>
        <w:bidi w:val="0"/>
        <w:spacing w:line="360" w:lineRule="auto"/>
        <w:ind w:left="480" w:right="-10"/>
        <w:textAlignment w:val="auto"/>
        <w:rPr>
          <w:rFonts w:hint="eastAsia" w:ascii="宋体" w:hAnsi="宋体"/>
          <w:sz w:val="24"/>
          <w:highlight w:val="none"/>
        </w:rPr>
      </w:pPr>
      <w:r>
        <w:rPr>
          <w:rFonts w:hint="eastAsia" w:ascii="宋体" w:hAnsi="宋体"/>
          <w:sz w:val="24"/>
          <w:highlight w:val="none"/>
        </w:rPr>
        <w:t>（三）通过投标初审；</w:t>
      </w:r>
    </w:p>
    <w:p w14:paraId="33485E15">
      <w:pPr>
        <w:keepNext w:val="0"/>
        <w:keepLines w:val="0"/>
        <w:pageBreakBefore w:val="0"/>
        <w:widowControl w:val="0"/>
        <w:kinsoku/>
        <w:wordWrap/>
        <w:overflowPunct/>
        <w:topLinePunct w:val="0"/>
        <w:autoSpaceDE/>
        <w:autoSpaceDN/>
        <w:bidi w:val="0"/>
        <w:adjustRightInd w:val="0"/>
        <w:snapToGrid w:val="0"/>
        <w:spacing w:line="360" w:lineRule="auto"/>
        <w:ind w:right="-10" w:firstLine="480" w:firstLineChars="200"/>
        <w:textAlignment w:val="auto"/>
        <w:rPr>
          <w:rFonts w:hint="eastAsia" w:ascii="宋体" w:hAnsi="宋体"/>
          <w:sz w:val="24"/>
          <w:highlight w:val="none"/>
        </w:rPr>
      </w:pPr>
      <w:r>
        <w:rPr>
          <w:rFonts w:hint="eastAsia" w:ascii="宋体" w:hAnsi="宋体"/>
          <w:sz w:val="24"/>
          <w:highlight w:val="none"/>
        </w:rPr>
        <w:t>（四）报价不高于限价；</w:t>
      </w:r>
    </w:p>
    <w:p w14:paraId="45007E71">
      <w:pPr>
        <w:keepNext w:val="0"/>
        <w:keepLines w:val="0"/>
        <w:pageBreakBefore w:val="0"/>
        <w:widowControl w:val="0"/>
        <w:kinsoku/>
        <w:wordWrap/>
        <w:overflowPunct/>
        <w:topLinePunct w:val="0"/>
        <w:autoSpaceDE/>
        <w:autoSpaceDN/>
        <w:bidi w:val="0"/>
        <w:adjustRightInd w:val="0"/>
        <w:snapToGrid w:val="0"/>
        <w:spacing w:line="360" w:lineRule="auto"/>
        <w:ind w:right="-10" w:firstLine="480" w:firstLineChars="200"/>
        <w:textAlignment w:val="auto"/>
        <w:rPr>
          <w:rFonts w:hint="eastAsia" w:ascii="宋体" w:hAnsi="宋体"/>
          <w:sz w:val="24"/>
          <w:highlight w:val="none"/>
        </w:rPr>
      </w:pPr>
      <w:r>
        <w:rPr>
          <w:rFonts w:hint="eastAsia" w:ascii="宋体" w:hAnsi="宋体"/>
          <w:sz w:val="24"/>
          <w:highlight w:val="none"/>
        </w:rPr>
        <w:t>（五）评委会依据招标文件认定的其他原则。</w:t>
      </w:r>
    </w:p>
    <w:p w14:paraId="1EFAFD8C">
      <w:pPr>
        <w:keepNext w:val="0"/>
        <w:keepLines w:val="0"/>
        <w:pageBreakBefore w:val="0"/>
        <w:widowControl w:val="0"/>
        <w:kinsoku/>
        <w:wordWrap/>
        <w:overflowPunct/>
        <w:topLinePunct w:val="0"/>
        <w:autoSpaceDE/>
        <w:autoSpaceDN/>
        <w:bidi w:val="0"/>
        <w:adjustRightInd w:val="0"/>
        <w:snapToGrid w:val="0"/>
        <w:spacing w:line="360" w:lineRule="auto"/>
        <w:ind w:right="-10" w:firstLine="482" w:firstLineChars="200"/>
        <w:textAlignment w:val="auto"/>
        <w:rPr>
          <w:rFonts w:hint="eastAsia" w:ascii="宋体" w:hAnsi="宋体"/>
          <w:sz w:val="24"/>
          <w:highlight w:val="none"/>
        </w:rPr>
      </w:pPr>
      <w:r>
        <w:rPr>
          <w:rFonts w:hint="eastAsia" w:ascii="宋体" w:hAnsi="宋体"/>
          <w:b/>
          <w:sz w:val="24"/>
          <w:highlight w:val="none"/>
        </w:rPr>
        <w:t xml:space="preserve">第七条 </w:t>
      </w:r>
      <w:r>
        <w:rPr>
          <w:rFonts w:hint="eastAsia" w:ascii="宋体" w:hAnsi="宋体" w:cs="宋体-18030"/>
          <w:sz w:val="24"/>
          <w:highlight w:val="none"/>
        </w:rPr>
        <w:t>评委会遵循公开、公平、公正和科学诚信的原则，对所有投标文件均采用相同程序和标准，进行评定。</w:t>
      </w:r>
    </w:p>
    <w:p w14:paraId="002129BB">
      <w:pPr>
        <w:keepNext w:val="0"/>
        <w:keepLines w:val="0"/>
        <w:pageBreakBefore w:val="0"/>
        <w:widowControl w:val="0"/>
        <w:kinsoku/>
        <w:wordWrap/>
        <w:overflowPunct/>
        <w:topLinePunct w:val="0"/>
        <w:autoSpaceDE/>
        <w:autoSpaceDN/>
        <w:bidi w:val="0"/>
        <w:spacing w:line="360" w:lineRule="auto"/>
        <w:ind w:left="523" w:leftChars="249"/>
        <w:textAlignment w:val="auto"/>
        <w:rPr>
          <w:rFonts w:hint="eastAsia" w:ascii="宋体" w:hAnsi="宋体" w:cs="宋体-18030"/>
          <w:sz w:val="24"/>
          <w:highlight w:val="none"/>
        </w:rPr>
      </w:pPr>
      <w:r>
        <w:rPr>
          <w:rFonts w:hint="eastAsia" w:ascii="宋体" w:hAnsi="宋体"/>
          <w:b/>
          <w:sz w:val="24"/>
          <w:highlight w:val="none"/>
        </w:rPr>
        <w:t>第八条</w:t>
      </w:r>
      <w:r>
        <w:rPr>
          <w:rFonts w:hint="eastAsia" w:ascii="宋体" w:hAnsi="宋体" w:cs="宋体-18030"/>
          <w:sz w:val="24"/>
          <w:highlight w:val="none"/>
        </w:rPr>
        <w:t xml:space="preserve"> 评审程序</w:t>
      </w:r>
    </w:p>
    <w:p w14:paraId="1FE1F9FB">
      <w:pPr>
        <w:keepNext w:val="0"/>
        <w:keepLines w:val="0"/>
        <w:pageBreakBefore w:val="0"/>
        <w:widowControl w:val="0"/>
        <w:kinsoku/>
        <w:wordWrap/>
        <w:overflowPunct/>
        <w:topLinePunct w:val="0"/>
        <w:autoSpaceDE/>
        <w:autoSpaceDN/>
        <w:bidi w:val="0"/>
        <w:spacing w:line="360" w:lineRule="auto"/>
        <w:ind w:right="-10" w:firstLine="480"/>
        <w:textAlignment w:val="auto"/>
        <w:rPr>
          <w:rFonts w:hint="eastAsia" w:ascii="宋体" w:hAnsi="宋体"/>
          <w:sz w:val="24"/>
          <w:highlight w:val="none"/>
        </w:rPr>
      </w:pPr>
      <w:r>
        <w:rPr>
          <w:rFonts w:hint="eastAsia" w:ascii="宋体" w:hAnsi="宋体"/>
          <w:sz w:val="24"/>
          <w:highlight w:val="none"/>
        </w:rPr>
        <w:t>1.本项目采用综合评分法进行评审，在最大限度地满足招标文件实质性要求前提下，按照招标文件中规定的各项因素进行综合评审。综合评分法的主要因素是：资格资质、技术、商务以及报价的比重。满分为100分。</w:t>
      </w:r>
    </w:p>
    <w:p w14:paraId="4FD0B7AE">
      <w:pPr>
        <w:keepNext w:val="0"/>
        <w:keepLines w:val="0"/>
        <w:pageBreakBefore w:val="0"/>
        <w:widowControl w:val="0"/>
        <w:kinsoku/>
        <w:wordWrap/>
        <w:overflowPunct/>
        <w:topLinePunct w:val="0"/>
        <w:autoSpaceDE/>
        <w:autoSpaceDN/>
        <w:bidi w:val="0"/>
        <w:spacing w:line="360" w:lineRule="auto"/>
        <w:ind w:right="-10" w:firstLine="480" w:firstLineChars="200"/>
        <w:textAlignment w:val="auto"/>
        <w:rPr>
          <w:rFonts w:hint="eastAsia" w:ascii="宋体" w:hAnsi="宋体"/>
          <w:sz w:val="24"/>
          <w:highlight w:val="none"/>
        </w:rPr>
      </w:pPr>
      <w:r>
        <w:rPr>
          <w:rFonts w:hint="eastAsia" w:ascii="宋体" w:hAnsi="宋体"/>
          <w:sz w:val="24"/>
          <w:highlight w:val="none"/>
        </w:rPr>
        <w:t>2</w:t>
      </w:r>
      <w:r>
        <w:rPr>
          <w:rFonts w:ascii="宋体" w:hAnsi="宋体"/>
          <w:sz w:val="24"/>
          <w:highlight w:val="none"/>
        </w:rPr>
        <w:t>.</w:t>
      </w:r>
      <w:r>
        <w:rPr>
          <w:rFonts w:hint="eastAsia" w:ascii="宋体" w:hAnsi="宋体"/>
          <w:sz w:val="24"/>
          <w:highlight w:val="none"/>
        </w:rPr>
        <w:t>评委会首先对投标文件进行初审，投标文件应实质上响应招标文件的要求，应与招标文件所有条款、条件和规定相符，无显著差异或保留。对内容不全，影响正常评标的投标文件由评标委员会初审后按无效标书处理。</w:t>
      </w:r>
    </w:p>
    <w:p w14:paraId="63BFF77E">
      <w:pPr>
        <w:keepNext w:val="0"/>
        <w:keepLines w:val="0"/>
        <w:pageBreakBefore w:val="0"/>
        <w:widowControl w:val="0"/>
        <w:numPr>
          <w:ilvl w:val="0"/>
          <w:numId w:val="0"/>
        </w:numPr>
        <w:kinsoku/>
        <w:wordWrap/>
        <w:overflowPunct/>
        <w:topLinePunct w:val="0"/>
        <w:autoSpaceDE/>
        <w:autoSpaceDN/>
        <w:bidi w:val="0"/>
        <w:spacing w:line="360" w:lineRule="auto"/>
        <w:jc w:val="both"/>
        <w:textAlignment w:val="auto"/>
        <w:rPr>
          <w:rFonts w:hint="eastAsia" w:ascii="宋体" w:hAnsi="宋体" w:eastAsia="宋体"/>
          <w:b/>
          <w:bCs/>
          <w:sz w:val="44"/>
          <w:szCs w:val="44"/>
          <w:highlight w:val="none"/>
        </w:rPr>
      </w:pPr>
    </w:p>
    <w:p w14:paraId="150D7214">
      <w:pPr>
        <w:keepNext w:val="0"/>
        <w:keepLines w:val="0"/>
        <w:pageBreakBefore w:val="0"/>
        <w:widowControl w:val="0"/>
        <w:numPr>
          <w:ilvl w:val="0"/>
          <w:numId w:val="0"/>
        </w:numPr>
        <w:kinsoku/>
        <w:wordWrap/>
        <w:overflowPunct/>
        <w:topLinePunct w:val="0"/>
        <w:autoSpaceDE/>
        <w:autoSpaceDN/>
        <w:bidi w:val="0"/>
        <w:spacing w:line="360" w:lineRule="auto"/>
        <w:jc w:val="center"/>
        <w:textAlignment w:val="auto"/>
        <w:rPr>
          <w:rFonts w:hint="default" w:ascii="宋体" w:hAnsi="宋体" w:eastAsia="宋体"/>
          <w:b/>
          <w:bCs/>
          <w:sz w:val="44"/>
          <w:szCs w:val="44"/>
          <w:highlight w:val="none"/>
          <w:lang w:val="en-US" w:eastAsia="zh-CN"/>
        </w:rPr>
      </w:pPr>
      <w:r>
        <w:rPr>
          <w:rFonts w:hint="eastAsia" w:ascii="宋体" w:hAnsi="宋体" w:eastAsia="宋体"/>
          <w:b/>
          <w:bCs/>
          <w:sz w:val="44"/>
          <w:szCs w:val="44"/>
          <w:highlight w:val="none"/>
          <w:lang w:val="en-US" w:eastAsia="zh-CN"/>
        </w:rPr>
        <w:t>评分标准表</w:t>
      </w:r>
    </w:p>
    <w:tbl>
      <w:tblPr>
        <w:tblStyle w:val="14"/>
        <w:tblW w:w="5066" w:type="pct"/>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66"/>
        <w:gridCol w:w="1400"/>
        <w:gridCol w:w="5560"/>
      </w:tblGrid>
      <w:tr w14:paraId="21F7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64" w:type="dxa"/>
            <w:noWrap w:val="0"/>
            <w:vAlign w:val="center"/>
          </w:tcPr>
          <w:p w14:paraId="7C837D92">
            <w:pPr>
              <w:widowControl/>
              <w:spacing w:line="360" w:lineRule="auto"/>
              <w:jc w:val="center"/>
              <w:rPr>
                <w:rFonts w:hint="eastAsia" w:ascii="宋体" w:hAnsi="宋体" w:cs="宋体"/>
                <w:b/>
                <w:bCs/>
                <w:color w:val="auto"/>
                <w:kern w:val="0"/>
                <w:sz w:val="24"/>
                <w:highlight w:val="none"/>
              </w:rPr>
            </w:pPr>
            <w:r>
              <w:rPr>
                <w:rFonts w:hint="eastAsia" w:ascii="Times New Roman" w:cs="宋体"/>
                <w:b/>
                <w:bCs/>
                <w:color w:val="auto"/>
                <w:sz w:val="24"/>
                <w:szCs w:val="24"/>
                <w:highlight w:val="none"/>
              </w:rPr>
              <w:t>条款号</w:t>
            </w:r>
          </w:p>
        </w:tc>
        <w:tc>
          <w:tcPr>
            <w:tcW w:w="1398" w:type="dxa"/>
            <w:noWrap w:val="0"/>
            <w:vAlign w:val="center"/>
          </w:tcPr>
          <w:p w14:paraId="178EDD0E">
            <w:pPr>
              <w:widowControl/>
              <w:spacing w:line="360" w:lineRule="auto"/>
              <w:ind w:firstLine="120" w:firstLineChars="50"/>
              <w:jc w:val="center"/>
              <w:rPr>
                <w:rFonts w:hint="eastAsia" w:ascii="宋体" w:hAnsi="宋体" w:cs="宋体"/>
                <w:b/>
                <w:bCs/>
                <w:color w:val="auto"/>
                <w:kern w:val="0"/>
                <w:sz w:val="24"/>
                <w:highlight w:val="none"/>
              </w:rPr>
            </w:pPr>
            <w:r>
              <w:rPr>
                <w:rFonts w:hint="eastAsia" w:ascii="Times New Roman" w:cs="宋体"/>
                <w:b/>
                <w:bCs/>
                <w:color w:val="auto"/>
                <w:sz w:val="24"/>
                <w:szCs w:val="24"/>
                <w:highlight w:val="none"/>
              </w:rPr>
              <w:t>评审因素</w:t>
            </w:r>
          </w:p>
        </w:tc>
        <w:tc>
          <w:tcPr>
            <w:tcW w:w="5554" w:type="dxa"/>
            <w:noWrap w:val="0"/>
            <w:vAlign w:val="center"/>
          </w:tcPr>
          <w:p w14:paraId="4D9BBA0C">
            <w:pPr>
              <w:widowControl/>
              <w:spacing w:line="360" w:lineRule="auto"/>
              <w:ind w:firstLine="120" w:firstLineChars="50"/>
              <w:jc w:val="center"/>
              <w:rPr>
                <w:rFonts w:hint="eastAsia" w:ascii="宋体" w:hAnsi="宋体" w:cs="宋体"/>
                <w:b/>
                <w:bCs/>
                <w:color w:val="auto"/>
                <w:kern w:val="0"/>
                <w:sz w:val="24"/>
                <w:highlight w:val="none"/>
              </w:rPr>
            </w:pPr>
            <w:r>
              <w:rPr>
                <w:rFonts w:hint="eastAsia" w:ascii="Times New Roman" w:cs="宋体"/>
                <w:b/>
                <w:bCs/>
                <w:color w:val="auto"/>
                <w:sz w:val="24"/>
                <w:szCs w:val="24"/>
                <w:highlight w:val="none"/>
              </w:rPr>
              <w:t>评审标准</w:t>
            </w:r>
          </w:p>
        </w:tc>
      </w:tr>
      <w:tr w14:paraId="4893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64" w:type="dxa"/>
            <w:noWrap w:val="0"/>
            <w:vAlign w:val="center"/>
          </w:tcPr>
          <w:p w14:paraId="156C9EC6">
            <w:pPr>
              <w:widowControl/>
              <w:spacing w:line="360" w:lineRule="auto"/>
              <w:jc w:val="center"/>
              <w:rPr>
                <w:rFonts w:hint="eastAsia" w:ascii="宋体" w:hAnsi="宋体" w:eastAsia="宋体" w:cs="宋体"/>
                <w:bCs/>
                <w:color w:val="auto"/>
                <w:kern w:val="0"/>
                <w:sz w:val="24"/>
                <w:highlight w:val="none"/>
                <w:lang w:val="en-US" w:eastAsia="zh-CN" w:bidi="ar-SA"/>
              </w:rPr>
            </w:pPr>
            <w:r>
              <w:rPr>
                <w:rFonts w:hint="eastAsia" w:ascii="宋体" w:hAnsi="宋体" w:cs="宋体"/>
                <w:bCs/>
                <w:color w:val="auto"/>
                <w:kern w:val="0"/>
                <w:sz w:val="24"/>
                <w:highlight w:val="none"/>
                <w:lang w:val="en-US" w:eastAsia="zh-CN"/>
              </w:rPr>
              <w:t>1</w:t>
            </w:r>
          </w:p>
        </w:tc>
        <w:tc>
          <w:tcPr>
            <w:tcW w:w="1398" w:type="dxa"/>
            <w:noWrap w:val="0"/>
            <w:tcMar>
              <w:left w:w="75" w:type="dxa"/>
            </w:tcMar>
            <w:vAlign w:val="center"/>
          </w:tcPr>
          <w:p w14:paraId="71957BCF">
            <w:pPr>
              <w:widowControl/>
              <w:snapToGrid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中标候选人排序方法</w:t>
            </w:r>
          </w:p>
        </w:tc>
        <w:tc>
          <w:tcPr>
            <w:tcW w:w="5554" w:type="dxa"/>
            <w:noWrap w:val="0"/>
            <w:tcMar>
              <w:left w:w="75" w:type="dxa"/>
            </w:tcMar>
            <w:vAlign w:val="center"/>
          </w:tcPr>
          <w:p w14:paraId="1FFF68D1">
            <w:pPr>
              <w:widowControl/>
              <w:adjustRightInd w:val="0"/>
              <w:snapToGrid w:val="0"/>
              <w:spacing w:line="360" w:lineRule="auto"/>
              <w:jc w:val="left"/>
              <w:rPr>
                <w:rFonts w:hint="eastAsia" w:ascii="Times New Roman" w:cs="宋体"/>
                <w:color w:val="auto"/>
                <w:szCs w:val="24"/>
                <w:highlight w:val="none"/>
              </w:rPr>
            </w:pPr>
            <w:r>
              <w:rPr>
                <w:rFonts w:hint="eastAsia" w:ascii="Times New Roman" w:cs="宋体"/>
                <w:color w:val="auto"/>
                <w:szCs w:val="24"/>
                <w:highlight w:val="none"/>
                <w:lang w:val="en-US" w:eastAsia="zh-CN"/>
              </w:rPr>
              <w:t>综合</w:t>
            </w:r>
            <w:r>
              <w:rPr>
                <w:rFonts w:hint="eastAsia" w:ascii="Times New Roman" w:cs="宋体"/>
                <w:color w:val="auto"/>
                <w:szCs w:val="24"/>
                <w:highlight w:val="none"/>
              </w:rPr>
              <w:t>得分相等时，评标委员会应按照以下优先顺序确定中标候选人顺序：</w:t>
            </w:r>
          </w:p>
          <w:p w14:paraId="5DF9B92F">
            <w:pPr>
              <w:widowControl/>
              <w:adjustRightInd w:val="0"/>
              <w:snapToGrid w:val="0"/>
              <w:spacing w:line="360" w:lineRule="auto"/>
              <w:jc w:val="left"/>
              <w:rPr>
                <w:rFonts w:hint="eastAsia" w:ascii="Times New Roman" w:cs="宋体"/>
                <w:color w:val="auto"/>
                <w:szCs w:val="24"/>
                <w:highlight w:val="none"/>
              </w:rPr>
            </w:pPr>
            <w:r>
              <w:rPr>
                <w:rFonts w:hint="eastAsia" w:ascii="Times New Roman" w:cs="宋体"/>
                <w:color w:val="auto"/>
                <w:szCs w:val="24"/>
                <w:highlight w:val="none"/>
              </w:rPr>
              <w:t>（1）</w:t>
            </w:r>
            <w:r>
              <w:rPr>
                <w:rFonts w:hint="eastAsia" w:ascii="Times New Roman"/>
                <w:color w:val="auto"/>
                <w:szCs w:val="24"/>
                <w:highlight w:val="none"/>
              </w:rPr>
              <w:t>商务及技术文件得分</w:t>
            </w:r>
            <w:r>
              <w:rPr>
                <w:rFonts w:hint="eastAsia" w:ascii="Times New Roman"/>
                <w:color w:val="auto"/>
                <w:szCs w:val="24"/>
                <w:highlight w:val="none"/>
                <w:lang w:val="en-US" w:eastAsia="zh-CN"/>
              </w:rPr>
              <w:t>高的优先</w:t>
            </w:r>
            <w:r>
              <w:rPr>
                <w:rFonts w:hint="eastAsia" w:ascii="Times New Roman" w:cs="宋体"/>
                <w:color w:val="auto"/>
                <w:szCs w:val="24"/>
                <w:highlight w:val="none"/>
              </w:rPr>
              <w:t>；</w:t>
            </w:r>
          </w:p>
          <w:p w14:paraId="5D8CA093">
            <w:pPr>
              <w:widowControl/>
              <w:adjustRightInd w:val="0"/>
              <w:snapToGrid w:val="0"/>
              <w:spacing w:line="360" w:lineRule="auto"/>
              <w:jc w:val="left"/>
              <w:rPr>
                <w:rFonts w:hint="eastAsia" w:ascii="Times New Roman" w:cs="宋体"/>
                <w:color w:val="auto"/>
                <w:szCs w:val="24"/>
                <w:highlight w:val="none"/>
              </w:rPr>
            </w:pPr>
            <w:r>
              <w:rPr>
                <w:rFonts w:hint="eastAsia" w:ascii="Times New Roman" w:cs="宋体"/>
                <w:color w:val="auto"/>
                <w:szCs w:val="24"/>
                <w:highlight w:val="none"/>
              </w:rPr>
              <w:t>（2）投标报价低的优先；</w:t>
            </w:r>
          </w:p>
          <w:p w14:paraId="4F319FC2">
            <w:pPr>
              <w:widowControl/>
              <w:snapToGrid w:val="0"/>
              <w:spacing w:line="360" w:lineRule="auto"/>
              <w:jc w:val="left"/>
              <w:outlineLvl w:val="9"/>
              <w:rPr>
                <w:rFonts w:hint="eastAsia" w:ascii="宋体" w:hAnsi="宋体" w:eastAsia="宋体" w:cs="宋体"/>
                <w:color w:val="auto"/>
                <w:sz w:val="24"/>
                <w:highlight w:val="none"/>
                <w:lang w:val="en-US" w:eastAsia="zh-CN" w:bidi="ar-SA"/>
              </w:rPr>
            </w:pPr>
            <w:r>
              <w:rPr>
                <w:rFonts w:hint="eastAsia" w:ascii="Times New Roman" w:hAnsi="Times New Roman" w:eastAsia="宋体" w:cs="宋体"/>
                <w:color w:val="auto"/>
                <w:szCs w:val="24"/>
                <w:highlight w:val="none"/>
                <w:lang w:eastAsia="zh-CN"/>
              </w:rPr>
              <w:t>（</w:t>
            </w:r>
            <w:r>
              <w:rPr>
                <w:rFonts w:hint="eastAsia" w:ascii="Times New Roman" w:hAnsi="Times New Roman" w:eastAsia="宋体" w:cs="宋体"/>
                <w:color w:val="auto"/>
                <w:szCs w:val="24"/>
                <w:highlight w:val="none"/>
                <w:lang w:val="en-US" w:eastAsia="zh-CN"/>
              </w:rPr>
              <w:t>3</w:t>
            </w:r>
            <w:r>
              <w:rPr>
                <w:rFonts w:hint="eastAsia" w:ascii="Times New Roman" w:hAnsi="Times New Roman" w:eastAsia="宋体" w:cs="宋体"/>
                <w:color w:val="auto"/>
                <w:szCs w:val="24"/>
                <w:highlight w:val="none"/>
                <w:lang w:eastAsia="zh-CN"/>
              </w:rPr>
              <w:t>）</w:t>
            </w:r>
            <w:r>
              <w:rPr>
                <w:rFonts w:hint="eastAsia" w:ascii="Times New Roman" w:hAnsi="Times New Roman" w:eastAsia="宋体" w:cs="宋体"/>
                <w:color w:val="auto"/>
                <w:szCs w:val="24"/>
                <w:highlight w:val="none"/>
              </w:rPr>
              <w:t>由评标委员会根据投标文件投票，按少数服从多数的原则确定中标候选人顺序。</w:t>
            </w:r>
          </w:p>
        </w:tc>
      </w:tr>
      <w:tr w14:paraId="5092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64" w:type="dxa"/>
            <w:noWrap w:val="0"/>
            <w:vAlign w:val="center"/>
          </w:tcPr>
          <w:p w14:paraId="2DED9059">
            <w:pPr>
              <w:keepNext/>
              <w:keepLines/>
              <w:widowControl/>
              <w:spacing w:before="340" w:after="330" w:line="360" w:lineRule="auto"/>
              <w:jc w:val="center"/>
              <w:outlineLvl w:val="9"/>
              <w:rPr>
                <w:rFonts w:hint="eastAsia" w:ascii="宋体" w:hAnsi="宋体" w:eastAsia="宋体" w:cs="宋体"/>
                <w:bCs/>
                <w:color w:val="auto"/>
                <w:kern w:val="0"/>
                <w:sz w:val="24"/>
                <w:highlight w:val="none"/>
                <w:lang w:val="en-US" w:eastAsia="zh-CN" w:bidi="ar-SA"/>
              </w:rPr>
            </w:pPr>
            <w:r>
              <w:rPr>
                <w:rFonts w:hint="eastAsia" w:ascii="宋体" w:hAnsi="宋体" w:eastAsia="宋体" w:cs="宋体"/>
                <w:color w:val="auto"/>
                <w:sz w:val="24"/>
                <w:szCs w:val="24"/>
                <w:lang w:val="en-US" w:eastAsia="zh-CN"/>
              </w:rPr>
              <w:t>2</w:t>
            </w:r>
          </w:p>
        </w:tc>
        <w:tc>
          <w:tcPr>
            <w:tcW w:w="1398" w:type="dxa"/>
            <w:noWrap w:val="0"/>
            <w:tcMar>
              <w:left w:w="75" w:type="dxa"/>
            </w:tcMar>
            <w:vAlign w:val="center"/>
          </w:tcPr>
          <w:p w14:paraId="695F1BF3">
            <w:pPr>
              <w:widowControl/>
              <w:spacing w:line="360" w:lineRule="auto"/>
              <w:jc w:val="center"/>
              <w:outlineLvl w:val="9"/>
              <w:rPr>
                <w:rFonts w:hint="eastAsia" w:ascii="宋体" w:hAnsi="宋体" w:cs="宋体"/>
                <w:color w:val="auto"/>
                <w:sz w:val="24"/>
                <w:lang w:val="en-US" w:eastAsia="zh-CN" w:bidi="ar-SA"/>
              </w:rPr>
            </w:pPr>
            <w:r>
              <w:rPr>
                <w:rFonts w:ascii="宋体" w:hAnsi="宋体" w:eastAsia="宋体" w:cs="宋体"/>
                <w:color w:val="auto"/>
                <w:sz w:val="24"/>
                <w:szCs w:val="24"/>
              </w:rPr>
              <w:t>初步评审标准</w:t>
            </w:r>
          </w:p>
        </w:tc>
        <w:tc>
          <w:tcPr>
            <w:tcW w:w="5554" w:type="dxa"/>
            <w:noWrap w:val="0"/>
            <w:tcMar>
              <w:left w:w="75" w:type="dxa"/>
            </w:tcMar>
            <w:vAlign w:val="center"/>
          </w:tcPr>
          <w:p w14:paraId="0321784C">
            <w:pPr>
              <w:widowControl/>
              <w:spacing w:line="360" w:lineRule="auto"/>
              <w:jc w:val="left"/>
              <w:outlineLvl w:val="9"/>
              <w:rPr>
                <w:rFonts w:hint="eastAsia" w:ascii="宋体" w:hAnsi="宋体" w:cs="宋体"/>
                <w:color w:val="auto"/>
                <w:sz w:val="24"/>
                <w:u w:val="single"/>
                <w:lang w:val="en-US" w:eastAsia="zh-CN" w:bidi="ar-SA"/>
              </w:rPr>
            </w:pPr>
            <w:r>
              <w:rPr>
                <w:rFonts w:ascii="宋体" w:hAnsi="宋体" w:eastAsia="宋体" w:cs="宋体"/>
                <w:color w:val="auto"/>
                <w:sz w:val="24"/>
                <w:szCs w:val="24"/>
              </w:rPr>
              <w:t>见</w:t>
            </w:r>
            <w:r>
              <w:rPr>
                <w:rFonts w:hint="eastAsia" w:hAnsi="宋体" w:eastAsia="宋体" w:cs="宋体"/>
                <w:color w:val="auto"/>
                <w:sz w:val="24"/>
                <w:szCs w:val="24"/>
                <w:lang w:eastAsia="zh-CN"/>
              </w:rPr>
              <w:t>“商务及技术文件初步评审标准”</w:t>
            </w:r>
            <w:r>
              <w:rPr>
                <w:rFonts w:hint="eastAsia" w:hAnsi="宋体" w:eastAsia="宋体" w:cs="宋体"/>
                <w:color w:val="auto"/>
                <w:sz w:val="24"/>
                <w:szCs w:val="24"/>
                <w:lang w:val="en-US" w:eastAsia="zh-CN"/>
              </w:rPr>
              <w:t>表</w:t>
            </w:r>
            <w:r>
              <w:rPr>
                <w:rFonts w:hint="eastAsia" w:hAnsi="宋体" w:eastAsia="宋体" w:cs="宋体"/>
                <w:color w:val="auto"/>
                <w:sz w:val="24"/>
                <w:szCs w:val="24"/>
                <w:lang w:eastAsia="zh-CN"/>
              </w:rPr>
              <w:t>、“报价文件初步评审标准”</w:t>
            </w:r>
            <w:r>
              <w:rPr>
                <w:rFonts w:hint="eastAsia" w:hAnsi="宋体" w:eastAsia="宋体" w:cs="宋体"/>
                <w:color w:val="auto"/>
                <w:sz w:val="24"/>
                <w:szCs w:val="24"/>
                <w:lang w:val="en-US" w:eastAsia="zh-CN"/>
              </w:rPr>
              <w:t>表。</w:t>
            </w:r>
          </w:p>
        </w:tc>
      </w:tr>
      <w:tr w14:paraId="265C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464" w:type="dxa"/>
            <w:noWrap w:val="0"/>
            <w:vAlign w:val="center"/>
          </w:tcPr>
          <w:p w14:paraId="0EA9051A">
            <w:pPr>
              <w:snapToGrid w:val="0"/>
              <w:spacing w:line="360" w:lineRule="auto"/>
              <w:jc w:val="center"/>
              <w:outlineLvl w:val="9"/>
              <w:rPr>
                <w:rFonts w:hint="eastAsia" w:ascii="宋体" w:hAnsi="宋体" w:eastAsia="宋体" w:cs="宋体"/>
                <w:bCs/>
                <w:color w:val="auto"/>
                <w:kern w:val="0"/>
                <w:sz w:val="24"/>
                <w:highlight w:val="none"/>
                <w:lang w:eastAsia="zh-CN"/>
              </w:rPr>
            </w:pPr>
            <w:r>
              <w:rPr>
                <w:rFonts w:hint="eastAsia" w:ascii="宋体" w:hAnsi="宋体" w:cs="宋体"/>
                <w:bCs/>
                <w:color w:val="auto"/>
                <w:kern w:val="0"/>
                <w:sz w:val="24"/>
                <w:highlight w:val="none"/>
                <w:lang w:val="en-US" w:eastAsia="zh-CN"/>
              </w:rPr>
              <w:t>3</w:t>
            </w:r>
          </w:p>
        </w:tc>
        <w:tc>
          <w:tcPr>
            <w:tcW w:w="1398" w:type="dxa"/>
            <w:noWrap w:val="0"/>
            <w:tcMar>
              <w:left w:w="75" w:type="dxa"/>
            </w:tcMar>
            <w:vAlign w:val="center"/>
          </w:tcPr>
          <w:p w14:paraId="32AA743F">
            <w:pPr>
              <w:spacing w:line="360" w:lineRule="auto"/>
              <w:jc w:val="center"/>
              <w:outlineLvl w:val="9"/>
              <w:rPr>
                <w:rFonts w:hint="eastAsia" w:ascii="宋体" w:hAnsi="宋体" w:cs="宋体"/>
                <w:color w:val="auto"/>
                <w:sz w:val="24"/>
                <w:highlight w:val="none"/>
              </w:rPr>
            </w:pPr>
            <w:r>
              <w:rPr>
                <w:rFonts w:hint="eastAsia" w:ascii="宋体" w:hAnsi="宋体" w:cs="宋体"/>
                <w:color w:val="auto"/>
                <w:sz w:val="24"/>
                <w:highlight w:val="none"/>
              </w:rPr>
              <w:t>分值构成</w:t>
            </w:r>
          </w:p>
          <w:p w14:paraId="7B120654">
            <w:pPr>
              <w:spacing w:line="360" w:lineRule="auto"/>
              <w:jc w:val="center"/>
              <w:outlineLvl w:val="9"/>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u w:val="single"/>
                <w:lang w:val="en-US" w:eastAsia="zh-CN"/>
              </w:rPr>
              <w:t>100</w:t>
            </w:r>
            <w:r>
              <w:rPr>
                <w:rFonts w:hint="eastAsia" w:ascii="宋体" w:hAnsi="宋体" w:cs="宋体"/>
                <w:color w:val="auto"/>
                <w:sz w:val="24"/>
                <w:highlight w:val="none"/>
              </w:rPr>
              <w:t>分）</w:t>
            </w:r>
          </w:p>
        </w:tc>
        <w:tc>
          <w:tcPr>
            <w:tcW w:w="5554" w:type="dxa"/>
            <w:noWrap w:val="0"/>
            <w:tcMar>
              <w:left w:w="75" w:type="dxa"/>
            </w:tcMar>
            <w:vAlign w:val="center"/>
          </w:tcPr>
          <w:p w14:paraId="1E5BA726">
            <w:pPr>
              <w:widowControl/>
              <w:spacing w:line="360" w:lineRule="auto"/>
              <w:jc w:val="left"/>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文件：</w:t>
            </w:r>
            <w:r>
              <w:rPr>
                <w:rFonts w:hint="eastAsia" w:ascii="宋体" w:hAnsi="宋体" w:cs="宋体"/>
                <w:color w:val="auto"/>
                <w:sz w:val="24"/>
                <w:szCs w:val="24"/>
                <w:u w:val="single"/>
                <w:lang w:val="en-US" w:eastAsia="zh-CN"/>
              </w:rPr>
              <w:t>40</w:t>
            </w:r>
            <w:r>
              <w:rPr>
                <w:rFonts w:hint="eastAsia" w:ascii="宋体" w:hAnsi="宋体" w:eastAsia="宋体" w:cs="宋体"/>
                <w:color w:val="auto"/>
                <w:sz w:val="24"/>
                <w:szCs w:val="24"/>
                <w:u w:val="single"/>
              </w:rPr>
              <w:t>分</w:t>
            </w:r>
          </w:p>
          <w:p w14:paraId="7E74EEA9">
            <w:pPr>
              <w:widowControl/>
              <w:spacing w:line="360" w:lineRule="auto"/>
              <w:jc w:val="left"/>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商务</w:t>
            </w:r>
            <w:r>
              <w:rPr>
                <w:rFonts w:hint="eastAsia" w:ascii="宋体" w:hAnsi="宋体" w:eastAsia="宋体" w:cs="宋体"/>
                <w:color w:val="auto"/>
                <w:sz w:val="24"/>
                <w:szCs w:val="24"/>
              </w:rPr>
              <w:t>文件：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u w:val="single"/>
              </w:rPr>
              <w:t>分</w:t>
            </w:r>
          </w:p>
          <w:p w14:paraId="70CFB5A5">
            <w:pPr>
              <w:widowControl/>
              <w:spacing w:line="360" w:lineRule="auto"/>
              <w:jc w:val="left"/>
              <w:outlineLvl w:val="9"/>
              <w:rPr>
                <w:rFonts w:hint="eastAsia" w:ascii="宋体" w:hAnsi="宋体" w:cs="宋体"/>
                <w:color w:val="auto"/>
                <w:sz w:val="24"/>
                <w:highlight w:val="none"/>
              </w:rPr>
            </w:pPr>
            <w:r>
              <w:rPr>
                <w:rFonts w:hint="eastAsia" w:ascii="宋体" w:hAnsi="宋体" w:eastAsia="宋体" w:cs="宋体"/>
                <w:color w:val="auto"/>
                <w:sz w:val="24"/>
                <w:szCs w:val="24"/>
                <w:lang w:eastAsia="zh-CN"/>
              </w:rPr>
              <w:t>报价文件</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30</w:t>
            </w:r>
            <w:r>
              <w:rPr>
                <w:rFonts w:hint="eastAsia" w:ascii="宋体" w:hAnsi="宋体" w:eastAsia="宋体" w:cs="宋体"/>
                <w:color w:val="auto"/>
                <w:sz w:val="24"/>
                <w:szCs w:val="24"/>
                <w:u w:val="single"/>
              </w:rPr>
              <w:t>分</w:t>
            </w:r>
          </w:p>
        </w:tc>
      </w:tr>
      <w:tr w14:paraId="3F22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6" w:hRule="atLeast"/>
        </w:trPr>
        <w:tc>
          <w:tcPr>
            <w:tcW w:w="1464" w:type="dxa"/>
            <w:noWrap w:val="0"/>
            <w:vAlign w:val="center"/>
          </w:tcPr>
          <w:p w14:paraId="05A817A6">
            <w:pPr>
              <w:keepNext/>
              <w:keepLines/>
              <w:widowControl/>
              <w:spacing w:before="340" w:after="330" w:line="360" w:lineRule="auto"/>
              <w:jc w:val="center"/>
              <w:outlineLvl w:val="9"/>
              <w:rPr>
                <w:rFonts w:hint="eastAsia" w:ascii="宋体" w:hAnsi="宋体" w:eastAsia="宋体" w:cs="宋体"/>
                <w:bCs/>
                <w:color w:val="auto"/>
                <w:kern w:val="0"/>
                <w:sz w:val="24"/>
                <w:highlight w:val="none"/>
                <w:lang w:val="en-US" w:eastAsia="zh-CN" w:bidi="ar-SA"/>
              </w:rPr>
            </w:pPr>
            <w:r>
              <w:rPr>
                <w:rFonts w:hint="eastAsia" w:ascii="宋体" w:hAnsi="宋体" w:eastAsia="宋体" w:cs="宋体"/>
                <w:color w:val="auto"/>
                <w:sz w:val="24"/>
                <w:szCs w:val="24"/>
                <w:lang w:val="en-US" w:eastAsia="zh-CN"/>
              </w:rPr>
              <w:t>4</w:t>
            </w:r>
          </w:p>
        </w:tc>
        <w:tc>
          <w:tcPr>
            <w:tcW w:w="1398" w:type="dxa"/>
            <w:noWrap w:val="0"/>
            <w:tcMar>
              <w:left w:w="75" w:type="dxa"/>
            </w:tcMar>
            <w:vAlign w:val="center"/>
          </w:tcPr>
          <w:p w14:paraId="32B061CF">
            <w:pPr>
              <w:widowControl/>
              <w:spacing w:line="360" w:lineRule="auto"/>
              <w:jc w:val="center"/>
              <w:outlineLvl w:val="9"/>
              <w:rPr>
                <w:rFonts w:hint="eastAsia" w:ascii="宋体" w:hAnsi="宋体" w:cs="宋体"/>
                <w:color w:val="auto"/>
                <w:sz w:val="24"/>
                <w:lang w:val="en-US" w:eastAsia="zh-CN" w:bidi="ar-SA"/>
              </w:rPr>
            </w:pPr>
            <w:r>
              <w:rPr>
                <w:rFonts w:hint="eastAsia" w:ascii="宋体" w:hAnsi="宋体" w:eastAsia="宋体" w:cs="宋体"/>
                <w:color w:val="auto"/>
                <w:sz w:val="24"/>
                <w:szCs w:val="24"/>
                <w:lang w:val="en-US" w:eastAsia="zh-CN"/>
              </w:rPr>
              <w:t>评分</w:t>
            </w:r>
            <w:r>
              <w:rPr>
                <w:rFonts w:ascii="宋体" w:hAnsi="宋体" w:eastAsia="宋体" w:cs="宋体"/>
                <w:color w:val="auto"/>
                <w:sz w:val="24"/>
                <w:szCs w:val="24"/>
              </w:rPr>
              <w:t>标准</w:t>
            </w:r>
          </w:p>
        </w:tc>
        <w:tc>
          <w:tcPr>
            <w:tcW w:w="5554" w:type="dxa"/>
            <w:noWrap w:val="0"/>
            <w:tcMar>
              <w:left w:w="75" w:type="dxa"/>
            </w:tcMar>
            <w:vAlign w:val="center"/>
          </w:tcPr>
          <w:p w14:paraId="5FEC11E7">
            <w:pPr>
              <w:widowControl/>
              <w:spacing w:line="360" w:lineRule="auto"/>
              <w:jc w:val="left"/>
              <w:outlineLvl w:val="9"/>
              <w:rPr>
                <w:rFonts w:hint="eastAsia" w:ascii="宋体" w:hAnsi="宋体" w:cs="宋体"/>
                <w:color w:val="auto"/>
                <w:sz w:val="24"/>
                <w:u w:val="single"/>
                <w:lang w:val="en-US" w:eastAsia="zh-CN" w:bidi="ar-SA"/>
              </w:rPr>
            </w:pPr>
            <w:r>
              <w:rPr>
                <w:rFonts w:ascii="宋体" w:hAnsi="宋体" w:eastAsia="宋体" w:cs="宋体"/>
                <w:color w:val="auto"/>
                <w:sz w:val="24"/>
                <w:szCs w:val="24"/>
              </w:rPr>
              <w:t>见</w:t>
            </w:r>
            <w:r>
              <w:rPr>
                <w:rFonts w:hint="eastAsia" w:hAnsi="宋体" w:eastAsia="宋体" w:cs="宋体"/>
                <w:color w:val="auto"/>
                <w:sz w:val="24"/>
                <w:szCs w:val="24"/>
                <w:lang w:eastAsia="zh-CN"/>
              </w:rPr>
              <w:t>“商务、技术及报价文件详细评审标准”</w:t>
            </w:r>
            <w:r>
              <w:rPr>
                <w:rFonts w:hint="eastAsia" w:hAnsi="宋体" w:eastAsia="宋体" w:cs="宋体"/>
                <w:color w:val="auto"/>
                <w:sz w:val="24"/>
                <w:szCs w:val="24"/>
                <w:lang w:val="en-US" w:eastAsia="zh-CN"/>
              </w:rPr>
              <w:t>表。</w:t>
            </w:r>
          </w:p>
        </w:tc>
      </w:tr>
    </w:tbl>
    <w:p w14:paraId="6C3977C6">
      <w:pPr>
        <w:spacing w:before="240" w:beforeLines="100" w:after="240" w:afterLines="100"/>
        <w:jc w:val="center"/>
        <w:outlineLvl w:val="1"/>
        <w:rPr>
          <w:rFonts w:hint="eastAsia" w:eastAsia="黑体" w:cs="宋体"/>
          <w:color w:val="auto"/>
          <w:sz w:val="32"/>
          <w:szCs w:val="32"/>
          <w:highlight w:val="none"/>
        </w:rPr>
      </w:pPr>
      <w:bookmarkStart w:id="9" w:name="_GoBack"/>
      <w:bookmarkEnd w:id="9"/>
      <w:bookmarkStart w:id="5" w:name="_Toc16481"/>
      <w:bookmarkStart w:id="6" w:name="_Toc8614"/>
    </w:p>
    <w:p w14:paraId="53237AE1">
      <w:pPr>
        <w:spacing w:before="240" w:beforeLines="100" w:after="240" w:afterLines="100"/>
        <w:jc w:val="center"/>
        <w:outlineLvl w:val="1"/>
        <w:rPr>
          <w:rFonts w:hint="eastAsia" w:eastAsia="黑体" w:cs="宋体"/>
          <w:color w:val="auto"/>
          <w:sz w:val="32"/>
          <w:szCs w:val="32"/>
          <w:highlight w:val="none"/>
        </w:rPr>
      </w:pPr>
    </w:p>
    <w:p w14:paraId="2F753722">
      <w:pPr>
        <w:spacing w:before="240" w:beforeLines="100" w:after="240" w:afterLines="100"/>
        <w:jc w:val="center"/>
        <w:outlineLvl w:val="1"/>
        <w:rPr>
          <w:rFonts w:hint="eastAsia" w:eastAsia="黑体" w:cs="宋体"/>
          <w:color w:val="auto"/>
          <w:sz w:val="32"/>
          <w:szCs w:val="32"/>
          <w:highlight w:val="none"/>
        </w:rPr>
      </w:pPr>
    </w:p>
    <w:bookmarkEnd w:id="5"/>
    <w:bookmarkEnd w:id="6"/>
    <w:p w14:paraId="3D7E2AF4">
      <w:pPr>
        <w:spacing w:before="240" w:beforeLines="100" w:after="240" w:afterLines="100"/>
        <w:jc w:val="both"/>
        <w:outlineLvl w:val="1"/>
        <w:rPr>
          <w:rFonts w:hint="eastAsia" w:eastAsia="黑体" w:cs="宋体"/>
          <w:color w:val="auto"/>
          <w:sz w:val="32"/>
          <w:szCs w:val="32"/>
          <w:highlight w:val="none"/>
          <w:lang w:val="en-US" w:eastAsia="zh-CN"/>
        </w:rPr>
      </w:pPr>
      <w:bookmarkStart w:id="7" w:name="_Toc32506"/>
      <w:bookmarkStart w:id="8" w:name="_Toc9005"/>
    </w:p>
    <w:p w14:paraId="6287B30B">
      <w:pPr>
        <w:spacing w:before="240" w:beforeLines="100" w:after="240" w:afterLines="100"/>
        <w:jc w:val="center"/>
        <w:outlineLvl w:val="1"/>
        <w:rPr>
          <w:rFonts w:hint="eastAsia" w:ascii="Times New Roman" w:eastAsia="黑体"/>
          <w:color w:val="auto"/>
          <w:sz w:val="32"/>
          <w:szCs w:val="32"/>
          <w:highlight w:val="none"/>
        </w:rPr>
      </w:pPr>
      <w:r>
        <w:rPr>
          <w:rFonts w:hint="eastAsia" w:eastAsia="黑体" w:cs="宋体"/>
          <w:color w:val="auto"/>
          <w:sz w:val="32"/>
          <w:szCs w:val="32"/>
          <w:highlight w:val="none"/>
          <w:lang w:val="en-US" w:eastAsia="zh-CN"/>
        </w:rPr>
        <w:t xml:space="preserve"> </w:t>
      </w:r>
      <w:r>
        <w:rPr>
          <w:rFonts w:hint="eastAsia" w:eastAsia="黑体" w:cs="宋体"/>
          <w:color w:val="auto"/>
          <w:sz w:val="32"/>
          <w:szCs w:val="32"/>
          <w:highlight w:val="none"/>
        </w:rPr>
        <w:t>商务</w:t>
      </w:r>
      <w:r>
        <w:rPr>
          <w:rFonts w:hint="eastAsia" w:eastAsia="黑体" w:cs="宋体"/>
          <w:color w:val="auto"/>
          <w:sz w:val="32"/>
          <w:szCs w:val="32"/>
          <w:highlight w:val="none"/>
          <w:lang w:eastAsia="zh-CN"/>
        </w:rPr>
        <w:t>、</w:t>
      </w:r>
      <w:r>
        <w:rPr>
          <w:rFonts w:hint="eastAsia" w:eastAsia="黑体" w:cs="宋体"/>
          <w:color w:val="auto"/>
          <w:sz w:val="32"/>
          <w:szCs w:val="32"/>
          <w:highlight w:val="none"/>
        </w:rPr>
        <w:t>技术</w:t>
      </w:r>
      <w:r>
        <w:rPr>
          <w:rFonts w:hint="eastAsia" w:eastAsia="黑体" w:cs="宋体"/>
          <w:color w:val="auto"/>
          <w:sz w:val="32"/>
          <w:szCs w:val="32"/>
          <w:highlight w:val="none"/>
          <w:lang w:eastAsia="zh-CN"/>
        </w:rPr>
        <w:t>及</w:t>
      </w:r>
      <w:r>
        <w:rPr>
          <w:rFonts w:hint="eastAsia" w:eastAsia="黑体" w:cs="宋体"/>
          <w:color w:val="auto"/>
          <w:sz w:val="32"/>
          <w:szCs w:val="32"/>
          <w:highlight w:val="none"/>
        </w:rPr>
        <w:t>报价文件详细评审标准</w:t>
      </w:r>
      <w:bookmarkEnd w:id="7"/>
      <w:bookmarkEnd w:id="8"/>
    </w:p>
    <w:tbl>
      <w:tblPr>
        <w:tblStyle w:val="14"/>
        <w:tblW w:w="5506" w:type="pct"/>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4"/>
        <w:gridCol w:w="802"/>
        <w:gridCol w:w="1002"/>
        <w:gridCol w:w="694"/>
        <w:gridCol w:w="5856"/>
      </w:tblGrid>
      <w:tr w14:paraId="2DCB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604" w:type="dxa"/>
            <w:gridSpan w:val="2"/>
            <w:noWrap w:val="0"/>
            <w:vAlign w:val="center"/>
          </w:tcPr>
          <w:p w14:paraId="72127ABE">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
                <w:bCs/>
                <w:color w:val="auto"/>
                <w:kern w:val="0"/>
                <w:sz w:val="24"/>
                <w:highlight w:val="none"/>
              </w:rPr>
            </w:pPr>
            <w:r>
              <w:rPr>
                <w:rFonts w:hint="eastAsia" w:eastAsia="黑体" w:cs="宋体"/>
                <w:color w:val="auto"/>
                <w:sz w:val="32"/>
                <w:szCs w:val="32"/>
                <w:highlight w:val="none"/>
                <w:lang w:val="en-US" w:eastAsia="zh-CN"/>
              </w:rPr>
              <w:t xml:space="preserve"> </w:t>
            </w:r>
            <w:r>
              <w:rPr>
                <w:rFonts w:hint="eastAsia" w:ascii="宋体" w:hAnsi="宋体" w:cs="宋体"/>
                <w:b/>
                <w:bCs/>
                <w:color w:val="auto"/>
                <w:kern w:val="0"/>
                <w:sz w:val="24"/>
                <w:highlight w:val="none"/>
              </w:rPr>
              <w:t>条款号</w:t>
            </w:r>
          </w:p>
        </w:tc>
        <w:tc>
          <w:tcPr>
            <w:tcW w:w="1001" w:type="dxa"/>
            <w:noWrap w:val="0"/>
            <w:tcMar>
              <w:left w:w="75" w:type="dxa"/>
            </w:tcMar>
            <w:vAlign w:val="center"/>
          </w:tcPr>
          <w:p w14:paraId="7D229272">
            <w:pPr>
              <w:spacing w:line="600" w:lineRule="exact"/>
              <w:jc w:val="center"/>
              <w:rPr>
                <w:rFonts w:hint="eastAsia" w:ascii="宋体" w:hAnsi="宋体" w:cs="宋体"/>
                <w:b/>
                <w:bCs/>
                <w:color w:val="auto"/>
                <w:kern w:val="0"/>
                <w:sz w:val="24"/>
                <w:highlight w:val="none"/>
              </w:rPr>
            </w:pPr>
            <w:r>
              <w:rPr>
                <w:rFonts w:hint="eastAsia" w:hAnsi="宋体" w:cs="宋体"/>
                <w:b/>
                <w:bCs/>
                <w:color w:val="auto"/>
                <w:lang w:eastAsia="zh-CN"/>
              </w:rPr>
              <w:t>评审</w:t>
            </w:r>
            <w:r>
              <w:rPr>
                <w:rFonts w:hint="eastAsia" w:hAnsi="宋体" w:cs="宋体"/>
                <w:b/>
                <w:bCs/>
                <w:color w:val="auto"/>
              </w:rPr>
              <w:t>因素</w:t>
            </w:r>
          </w:p>
        </w:tc>
        <w:tc>
          <w:tcPr>
            <w:tcW w:w="693" w:type="dxa"/>
            <w:noWrap w:val="0"/>
            <w:vAlign w:val="center"/>
          </w:tcPr>
          <w:p w14:paraId="12F9CDA8">
            <w:pPr>
              <w:spacing w:line="600" w:lineRule="exact"/>
              <w:jc w:val="center"/>
              <w:rPr>
                <w:rFonts w:hint="eastAsia" w:ascii="宋体" w:hAnsi="宋体" w:cs="宋体"/>
                <w:b/>
                <w:bCs/>
                <w:color w:val="auto"/>
                <w:kern w:val="0"/>
                <w:sz w:val="24"/>
                <w:highlight w:val="none"/>
              </w:rPr>
            </w:pPr>
            <w:r>
              <w:rPr>
                <w:rFonts w:hint="eastAsia" w:hAnsi="宋体" w:cs="宋体"/>
                <w:b/>
                <w:bCs/>
                <w:color w:val="auto"/>
              </w:rPr>
              <w:t>分值</w:t>
            </w:r>
          </w:p>
        </w:tc>
        <w:tc>
          <w:tcPr>
            <w:tcW w:w="5850" w:type="dxa"/>
            <w:noWrap w:val="0"/>
            <w:vAlign w:val="center"/>
          </w:tcPr>
          <w:p w14:paraId="5E0B7E9A">
            <w:pPr>
              <w:spacing w:line="600" w:lineRule="exact"/>
              <w:jc w:val="center"/>
              <w:rPr>
                <w:rFonts w:hint="eastAsia" w:ascii="宋体" w:hAnsi="宋体" w:cs="宋体"/>
                <w:b/>
                <w:bCs/>
                <w:color w:val="auto"/>
                <w:kern w:val="0"/>
                <w:sz w:val="24"/>
                <w:highlight w:val="none"/>
              </w:rPr>
            </w:pPr>
            <w:r>
              <w:rPr>
                <w:rFonts w:hint="eastAsia" w:hAnsi="宋体" w:cs="宋体"/>
                <w:b/>
                <w:bCs/>
                <w:color w:val="auto"/>
                <w:lang w:eastAsia="zh-CN"/>
              </w:rPr>
              <w:t>评审</w:t>
            </w:r>
            <w:r>
              <w:rPr>
                <w:rFonts w:hint="eastAsia" w:hAnsi="宋体" w:cs="宋体"/>
                <w:b/>
                <w:bCs/>
                <w:color w:val="auto"/>
              </w:rPr>
              <w:t>标准</w:t>
            </w:r>
          </w:p>
        </w:tc>
      </w:tr>
      <w:tr w14:paraId="4239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9" w:hRule="atLeast"/>
        </w:trPr>
        <w:tc>
          <w:tcPr>
            <w:tcW w:w="803" w:type="dxa"/>
            <w:noWrap w:val="0"/>
            <w:vAlign w:val="center"/>
          </w:tcPr>
          <w:p w14:paraId="65983ABA">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2.2.2（1）</w:t>
            </w:r>
          </w:p>
        </w:tc>
        <w:tc>
          <w:tcPr>
            <w:tcW w:w="801" w:type="dxa"/>
            <w:noWrap w:val="0"/>
            <w:vAlign w:val="center"/>
          </w:tcPr>
          <w:p w14:paraId="50861E7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技术</w:t>
            </w:r>
            <w:r>
              <w:rPr>
                <w:rFonts w:hint="eastAsia" w:ascii="宋体" w:hAnsi="宋体" w:cs="宋体"/>
                <w:color w:val="auto"/>
                <w:sz w:val="24"/>
                <w:highlight w:val="none"/>
              </w:rPr>
              <w:t>文件评分标准</w:t>
            </w:r>
          </w:p>
        </w:tc>
        <w:tc>
          <w:tcPr>
            <w:tcW w:w="1001" w:type="dxa"/>
            <w:noWrap w:val="0"/>
            <w:tcMar>
              <w:left w:w="75" w:type="dxa"/>
            </w:tcMar>
            <w:vAlign w:val="center"/>
          </w:tcPr>
          <w:p w14:paraId="0F04A7D9">
            <w:pPr>
              <w:widowControl/>
              <w:spacing w:line="360" w:lineRule="auto"/>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施工方案</w:t>
            </w:r>
          </w:p>
          <w:p w14:paraId="46C53CAE">
            <w:pPr>
              <w:widowControl/>
              <w:spacing w:line="360" w:lineRule="auto"/>
              <w:jc w:val="center"/>
              <w:rPr>
                <w:rFonts w:hint="default" w:ascii="宋体" w:hAnsi="宋体" w:eastAsia="宋体" w:cs="宋体"/>
                <w:color w:val="auto"/>
                <w:sz w:val="24"/>
                <w:highlight w:val="none"/>
                <w:lang w:val="en-US" w:eastAsia="zh-CN"/>
              </w:rPr>
            </w:pPr>
          </w:p>
        </w:tc>
        <w:tc>
          <w:tcPr>
            <w:tcW w:w="693" w:type="dxa"/>
            <w:noWrap w:val="0"/>
            <w:vAlign w:val="center"/>
          </w:tcPr>
          <w:p w14:paraId="1B07324D">
            <w:pPr>
              <w:widowControl/>
              <w:snapToGrid w:val="0"/>
              <w:spacing w:line="360" w:lineRule="auto"/>
              <w:jc w:val="center"/>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40</w:t>
            </w:r>
            <w:r>
              <w:rPr>
                <w:rFonts w:hint="eastAsia" w:ascii="宋体" w:hAnsi="宋体" w:eastAsia="宋体" w:cs="宋体"/>
                <w:color w:val="auto"/>
                <w:kern w:val="0"/>
                <w:sz w:val="24"/>
                <w:highlight w:val="none"/>
              </w:rPr>
              <w:t>分</w:t>
            </w:r>
          </w:p>
        </w:tc>
        <w:tc>
          <w:tcPr>
            <w:tcW w:w="5850" w:type="dxa"/>
            <w:noWrap w:val="0"/>
            <w:vAlign w:val="center"/>
          </w:tcPr>
          <w:p w14:paraId="3306D6E9">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1.内容完整性和编制水平：依据</w:t>
            </w:r>
            <w:r>
              <w:rPr>
                <w:rFonts w:hint="eastAsia" w:ascii="宋体" w:hAnsi="宋体" w:eastAsia="宋体" w:cs="宋体"/>
                <w:color w:val="auto"/>
                <w:sz w:val="24"/>
                <w:highlight w:val="none"/>
                <w:lang w:val="en-US" w:eastAsia="zh-CN"/>
              </w:rPr>
              <w:t>投标人</w:t>
            </w:r>
            <w:r>
              <w:rPr>
                <w:rFonts w:hint="eastAsia" w:ascii="宋体" w:hAnsi="宋体" w:cs="宋体"/>
                <w:color w:val="auto"/>
                <w:sz w:val="24"/>
                <w:highlight w:val="none"/>
                <w:lang w:val="en-US" w:eastAsia="zh-CN"/>
              </w:rPr>
              <w:t>施工</w:t>
            </w:r>
            <w:r>
              <w:rPr>
                <w:rFonts w:hint="eastAsia" w:ascii="宋体" w:hAnsi="宋体" w:eastAsia="宋体" w:cs="宋体"/>
                <w:color w:val="auto"/>
                <w:sz w:val="24"/>
                <w:highlight w:val="none"/>
              </w:rPr>
              <w:t>方案内容的完整性及</w:t>
            </w:r>
            <w:r>
              <w:rPr>
                <w:rFonts w:hint="eastAsia" w:ascii="宋体" w:hAnsi="宋体" w:cs="宋体"/>
                <w:color w:val="auto"/>
                <w:sz w:val="24"/>
                <w:highlight w:val="none"/>
                <w:lang w:val="en-US" w:eastAsia="zh-CN"/>
              </w:rPr>
              <w:t>符合现场实际情况</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评委</w:t>
            </w:r>
            <w:r>
              <w:rPr>
                <w:rFonts w:hint="eastAsia" w:ascii="宋体" w:hAnsi="宋体" w:eastAsia="宋体" w:cs="宋体"/>
                <w:color w:val="auto"/>
                <w:sz w:val="24"/>
                <w:highlight w:val="none"/>
              </w:rPr>
              <w:t>进行综合评分。</w:t>
            </w:r>
          </w:p>
          <w:p w14:paraId="771BAC98">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2施工工艺与技术措施：依据投标施工方案</w:t>
            </w:r>
            <w:r>
              <w:rPr>
                <w:rFonts w:hint="eastAsia" w:ascii="宋体" w:hAnsi="宋体" w:eastAsia="宋体" w:cs="宋体"/>
                <w:color w:val="auto"/>
                <w:sz w:val="24"/>
                <w:highlight w:val="none"/>
              </w:rPr>
              <w:t>中针对本</w:t>
            </w:r>
            <w:r>
              <w:rPr>
                <w:rFonts w:hint="eastAsia" w:ascii="宋体" w:hAnsi="宋体" w:eastAsia="宋体" w:cs="宋体"/>
                <w:color w:val="auto"/>
                <w:sz w:val="24"/>
                <w:highlight w:val="none"/>
                <w:lang w:val="en-US" w:eastAsia="zh-CN"/>
              </w:rPr>
              <w:t>项目</w:t>
            </w:r>
            <w:r>
              <w:rPr>
                <w:rFonts w:hint="eastAsia" w:ascii="宋体" w:hAnsi="宋体" w:eastAsia="宋体" w:cs="宋体"/>
                <w:color w:val="auto"/>
                <w:sz w:val="24"/>
                <w:highlight w:val="none"/>
              </w:rPr>
              <w:t>提出的主要技术措施由评委进行综合评分。</w:t>
            </w:r>
          </w:p>
          <w:p w14:paraId="4C734957">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依据投标人施工方案</w:t>
            </w:r>
            <w:r>
              <w:rPr>
                <w:rFonts w:hint="eastAsia" w:ascii="宋体" w:hAnsi="宋体" w:eastAsia="宋体" w:cs="宋体"/>
                <w:color w:val="auto"/>
                <w:sz w:val="24"/>
                <w:highlight w:val="none"/>
              </w:rPr>
              <w:t>中</w:t>
            </w:r>
            <w:r>
              <w:rPr>
                <w:rFonts w:hint="eastAsia" w:ascii="宋体" w:hAnsi="宋体" w:cs="宋体"/>
                <w:color w:val="auto"/>
                <w:sz w:val="24"/>
                <w:highlight w:val="none"/>
                <w:lang w:val="en-US" w:eastAsia="zh-CN"/>
              </w:rPr>
              <w:t>信号覆盖方案</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评委</w:t>
            </w:r>
            <w:r>
              <w:rPr>
                <w:rFonts w:hint="eastAsia" w:ascii="宋体" w:hAnsi="宋体" w:eastAsia="宋体" w:cs="宋体"/>
                <w:color w:val="auto"/>
                <w:sz w:val="24"/>
                <w:highlight w:val="none"/>
              </w:rPr>
              <w:t>进行综合评分。</w:t>
            </w:r>
          </w:p>
          <w:p w14:paraId="4E8345A6">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优秀的，得</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＜F≤</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分；</w:t>
            </w:r>
          </w:p>
          <w:p w14:paraId="5F8B3662">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良好的，得</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＜F≤</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分；</w:t>
            </w:r>
          </w:p>
          <w:p w14:paraId="6A3FD84F">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一般的，得 0＜F≤</w:t>
            </w:r>
            <w:r>
              <w:rPr>
                <w:rFonts w:hint="eastAsia" w:ascii="宋体" w:hAnsi="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未提供的不得分。</w:t>
            </w:r>
          </w:p>
          <w:p w14:paraId="7E730862">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
                <w:bCs/>
                <w:color w:val="auto"/>
                <w:kern w:val="0"/>
                <w:sz w:val="24"/>
                <w:szCs w:val="24"/>
                <w:highlight w:val="none"/>
                <w:lang w:val="en-US" w:eastAsia="zh-CN"/>
              </w:rPr>
              <w:t>注：“F”为投标人本项得分。</w:t>
            </w:r>
          </w:p>
        </w:tc>
      </w:tr>
      <w:tr w14:paraId="7B26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2" w:hRule="atLeast"/>
        </w:trPr>
        <w:tc>
          <w:tcPr>
            <w:tcW w:w="803" w:type="dxa"/>
            <w:noWrap w:val="0"/>
            <w:vAlign w:val="center"/>
          </w:tcPr>
          <w:p w14:paraId="116E4B71">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2.2.2（2）</w:t>
            </w:r>
          </w:p>
        </w:tc>
        <w:tc>
          <w:tcPr>
            <w:tcW w:w="801" w:type="dxa"/>
            <w:noWrap w:val="0"/>
            <w:vAlign w:val="center"/>
          </w:tcPr>
          <w:p w14:paraId="56AFB98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商务</w:t>
            </w:r>
            <w:r>
              <w:rPr>
                <w:rFonts w:hint="eastAsia" w:ascii="宋体" w:hAnsi="宋体" w:cs="宋体"/>
                <w:color w:val="auto"/>
                <w:sz w:val="24"/>
                <w:highlight w:val="none"/>
              </w:rPr>
              <w:t>文件评分标准</w:t>
            </w:r>
          </w:p>
        </w:tc>
        <w:tc>
          <w:tcPr>
            <w:tcW w:w="1001" w:type="dxa"/>
            <w:noWrap w:val="0"/>
            <w:tcMar>
              <w:left w:w="75" w:type="dxa"/>
            </w:tcMar>
            <w:vAlign w:val="top"/>
          </w:tcPr>
          <w:p w14:paraId="19DECB19">
            <w:pPr>
              <w:spacing w:line="360" w:lineRule="auto"/>
              <w:jc w:val="center"/>
              <w:rPr>
                <w:rFonts w:hint="eastAsia" w:ascii="宋体" w:hAnsi="宋体" w:cs="宋体"/>
                <w:color w:val="auto"/>
                <w:sz w:val="24"/>
                <w:highlight w:val="none"/>
              </w:rPr>
            </w:pPr>
          </w:p>
          <w:p w14:paraId="14633227">
            <w:pPr>
              <w:spacing w:line="360" w:lineRule="auto"/>
              <w:jc w:val="center"/>
              <w:rPr>
                <w:rFonts w:hint="eastAsia" w:ascii="宋体" w:hAnsi="宋体" w:cs="宋体"/>
                <w:color w:val="auto"/>
                <w:sz w:val="24"/>
                <w:highlight w:val="none"/>
              </w:rPr>
            </w:pPr>
          </w:p>
          <w:p w14:paraId="4C8E9130">
            <w:pPr>
              <w:spacing w:line="360" w:lineRule="auto"/>
              <w:jc w:val="both"/>
              <w:rPr>
                <w:rFonts w:hint="eastAsia" w:ascii="宋体" w:hAnsi="宋体" w:cs="宋体"/>
                <w:color w:val="auto"/>
                <w:sz w:val="24"/>
                <w:highlight w:val="none"/>
              </w:rPr>
            </w:pPr>
            <w:r>
              <w:rPr>
                <w:rFonts w:hint="eastAsia" w:ascii="宋体" w:hAnsi="宋体" w:cs="宋体"/>
                <w:color w:val="auto"/>
                <w:sz w:val="24"/>
                <w:highlight w:val="none"/>
              </w:rPr>
              <w:t>投标人资信认证</w:t>
            </w:r>
          </w:p>
        </w:tc>
        <w:tc>
          <w:tcPr>
            <w:tcW w:w="693" w:type="dxa"/>
            <w:noWrap w:val="0"/>
            <w:vAlign w:val="center"/>
          </w:tcPr>
          <w:p w14:paraId="4BC27C2E">
            <w:pPr>
              <w:widowControl/>
              <w:snapToGrid w:val="0"/>
              <w:spacing w:line="360" w:lineRule="auto"/>
              <w:jc w:val="both"/>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30</w:t>
            </w:r>
            <w:r>
              <w:rPr>
                <w:rFonts w:hint="eastAsia" w:ascii="宋体" w:hAnsi="宋体" w:cs="宋体"/>
                <w:color w:val="auto"/>
                <w:kern w:val="0"/>
                <w:sz w:val="24"/>
                <w:highlight w:val="none"/>
              </w:rPr>
              <w:t>分</w:t>
            </w:r>
          </w:p>
        </w:tc>
        <w:tc>
          <w:tcPr>
            <w:tcW w:w="5850" w:type="dxa"/>
            <w:noWrap w:val="0"/>
            <w:vAlign w:val="center"/>
          </w:tcPr>
          <w:p w14:paraId="73D76229">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本项满分 </w:t>
            </w:r>
            <w:r>
              <w:rPr>
                <w:rFonts w:hint="eastAsia" w:ascii="宋体" w:hAnsi="宋体" w:cs="宋体"/>
                <w:color w:val="auto"/>
                <w:sz w:val="24"/>
                <w:highlight w:val="none"/>
                <w:lang w:val="en-US" w:eastAsia="zh-CN"/>
              </w:rPr>
              <w:t>30</w:t>
            </w:r>
            <w:r>
              <w:rPr>
                <w:rFonts w:hint="eastAsia" w:ascii="宋体" w:hAnsi="宋体" w:cs="宋体"/>
                <w:color w:val="auto"/>
                <w:sz w:val="24"/>
                <w:highlight w:val="none"/>
              </w:rPr>
              <w:t xml:space="preserve"> 分：</w:t>
            </w:r>
          </w:p>
          <w:p w14:paraId="629D6FBF">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投标人须具备独立法人资格、具有有效的营业执照。</w:t>
            </w:r>
          </w:p>
          <w:p w14:paraId="6B980FBB">
            <w:pPr>
              <w:snapToGrid w:val="0"/>
              <w:spacing w:line="360" w:lineRule="auto"/>
              <w:jc w:val="left"/>
              <w:rPr>
                <w:rFonts w:hint="eastAsia" w:ascii="宋体" w:hAnsi="宋体" w:eastAsia="宋体" w:cs="宋体"/>
                <w:color w:val="auto"/>
                <w:sz w:val="24"/>
                <w:highlight w:val="none"/>
                <w:lang w:eastAsia="zh-CN"/>
              </w:rPr>
            </w:pPr>
          </w:p>
        </w:tc>
      </w:tr>
      <w:tr w14:paraId="7BD9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03" w:type="dxa"/>
            <w:noWrap w:val="0"/>
            <w:vAlign w:val="center"/>
          </w:tcPr>
          <w:p w14:paraId="2B2869D8">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2.2.2（3）</w:t>
            </w:r>
          </w:p>
        </w:tc>
        <w:tc>
          <w:tcPr>
            <w:tcW w:w="801" w:type="dxa"/>
            <w:noWrap w:val="0"/>
            <w:vAlign w:val="center"/>
          </w:tcPr>
          <w:p w14:paraId="11F0F7C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报价文件评分标准</w:t>
            </w:r>
          </w:p>
        </w:tc>
        <w:tc>
          <w:tcPr>
            <w:tcW w:w="1001" w:type="dxa"/>
            <w:noWrap w:val="0"/>
            <w:vAlign w:val="center"/>
          </w:tcPr>
          <w:p w14:paraId="58537FC2">
            <w:pPr>
              <w:spacing w:line="360" w:lineRule="auto"/>
              <w:jc w:val="center"/>
              <w:rPr>
                <w:rFonts w:hint="eastAsia" w:ascii="宋体" w:hAnsi="宋体" w:cs="宋体"/>
                <w:color w:val="auto"/>
                <w:sz w:val="24"/>
                <w:lang w:val="en-US" w:eastAsia="zh-CN" w:bidi="ar-SA"/>
              </w:rPr>
            </w:pPr>
            <w:r>
              <w:rPr>
                <w:rFonts w:hint="eastAsia" w:hAnsi="宋体" w:cs="宋体"/>
                <w:color w:val="auto"/>
                <w:lang w:eastAsia="zh-CN"/>
              </w:rPr>
              <w:t>投标报</w:t>
            </w:r>
            <w:r>
              <w:rPr>
                <w:rFonts w:hint="eastAsia" w:hAnsi="宋体" w:cs="宋体"/>
                <w:color w:val="auto"/>
              </w:rPr>
              <w:t>价</w:t>
            </w:r>
          </w:p>
        </w:tc>
        <w:tc>
          <w:tcPr>
            <w:tcW w:w="693" w:type="dxa"/>
            <w:noWrap w:val="0"/>
            <w:vAlign w:val="center"/>
          </w:tcPr>
          <w:p w14:paraId="712EA8FF">
            <w:pPr>
              <w:spacing w:line="360" w:lineRule="auto"/>
              <w:jc w:val="left"/>
              <w:rPr>
                <w:rFonts w:hint="eastAsia" w:ascii="宋体" w:hAnsi="宋体" w:cs="宋体"/>
                <w:color w:val="auto"/>
                <w:sz w:val="24"/>
                <w:lang w:val="en-US" w:eastAsia="zh-CN" w:bidi="ar-SA"/>
              </w:rPr>
            </w:pPr>
            <w:r>
              <w:rPr>
                <w:rFonts w:hint="eastAsia" w:ascii="宋体" w:hAnsi="宋体" w:cs="宋体"/>
                <w:color w:val="auto"/>
                <w:kern w:val="0"/>
                <w:sz w:val="24"/>
                <w:highlight w:val="none"/>
                <w:lang w:val="en-US" w:eastAsia="zh-CN"/>
              </w:rPr>
              <w:t>30</w:t>
            </w:r>
            <w:r>
              <w:rPr>
                <w:rFonts w:hint="eastAsia" w:hAnsi="宋体" w:cs="宋体"/>
                <w:color w:val="auto"/>
              </w:rPr>
              <w:t>分</w:t>
            </w:r>
          </w:p>
        </w:tc>
        <w:tc>
          <w:tcPr>
            <w:tcW w:w="5850" w:type="dxa"/>
            <w:noWrap w:val="0"/>
            <w:vAlign w:val="center"/>
          </w:tcPr>
          <w:p w14:paraId="60FB2D01">
            <w:pPr>
              <w:snapToGrid w:val="0"/>
              <w:spacing w:line="360" w:lineRule="auto"/>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1.评标基准价：所有资格审查合格、有效投标报价的算术平均值（不剔除最高、最低）。</w:t>
            </w:r>
          </w:p>
          <w:p w14:paraId="6127450B">
            <w:pPr>
              <w:snapToGrid w:val="0"/>
              <w:spacing w:line="360" w:lineRule="auto"/>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2.投标报价等于基准价，得满分40分。</w:t>
            </w:r>
          </w:p>
          <w:p w14:paraId="7F7AED1F">
            <w:pPr>
              <w:snapToGrid w:val="0"/>
              <w:spacing w:line="360" w:lineRule="auto"/>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3.报价高于基准价：每高出1%扣1.0分。</w:t>
            </w:r>
          </w:p>
          <w:p w14:paraId="1C65C7FA">
            <w:pPr>
              <w:snapToGrid w:val="0"/>
              <w:spacing w:line="360" w:lineRule="auto"/>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4.报价低于基准价：每低1%扣1.0分。</w:t>
            </w:r>
          </w:p>
          <w:p w14:paraId="13C27CE9">
            <w:pPr>
              <w:snapToGrid w:val="0"/>
              <w:spacing w:line="360" w:lineRule="auto"/>
              <w:jc w:val="left"/>
              <w:rPr>
                <w:rFonts w:hint="eastAsia" w:ascii="宋体" w:hAnsi="宋体" w:cs="宋体"/>
                <w:color w:val="auto"/>
                <w:spacing w:val="-2"/>
                <w:sz w:val="24"/>
                <w:lang w:val="en-US" w:eastAsia="zh-CN" w:bidi="ar-SA"/>
              </w:rPr>
            </w:pPr>
            <w:r>
              <w:rPr>
                <w:rFonts w:hint="eastAsia" w:ascii="宋体" w:hAnsi="宋体" w:eastAsia="宋体" w:cs="宋体"/>
                <w:color w:val="auto"/>
                <w:sz w:val="24"/>
                <w:highlight w:val="none"/>
                <w:lang w:val="en-US" w:eastAsia="zh-CN"/>
              </w:rPr>
              <w:t>5.不足1%按线性插值法计算，得分保留两位小数，最低0分。</w:t>
            </w:r>
          </w:p>
        </w:tc>
      </w:tr>
    </w:tbl>
    <w:p w14:paraId="2F972BAB">
      <w:pPr>
        <w:keepNext w:val="0"/>
        <w:keepLines w:val="0"/>
        <w:pageBreakBefore w:val="0"/>
        <w:widowControl w:val="0"/>
        <w:numPr>
          <w:ilvl w:val="0"/>
          <w:numId w:val="0"/>
        </w:numPr>
        <w:kinsoku/>
        <w:wordWrap/>
        <w:overflowPunct/>
        <w:topLinePunct w:val="0"/>
        <w:bidi w:val="0"/>
        <w:snapToGrid/>
        <w:spacing w:line="560" w:lineRule="exact"/>
        <w:textAlignment w:val="auto"/>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宋体-18030">
    <w:altName w:val="微软雅黑"/>
    <w:panose1 w:val="02010609060101010101"/>
    <w:charset w:val="86"/>
    <w:family w:val="modern"/>
    <w:pitch w:val="default"/>
    <w:sig w:usb0="00000000" w:usb1="00000000" w:usb2="000A005E"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26827"/>
    <w:multiLevelType w:val="singleLevel"/>
    <w:tmpl w:val="AD926827"/>
    <w:lvl w:ilvl="0" w:tentative="0">
      <w:start w:val="6"/>
      <w:numFmt w:val="decimal"/>
      <w:suff w:val="nothing"/>
      <w:lvlText w:val="%1、"/>
      <w:lvlJc w:val="left"/>
    </w:lvl>
  </w:abstractNum>
  <w:abstractNum w:abstractNumId="1">
    <w:nsid w:val="1779B74E"/>
    <w:multiLevelType w:val="singleLevel"/>
    <w:tmpl w:val="1779B74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5ZmM1YjYzMzBmYWJkZDExNWE4ODE2ZDk2ZWQ5MmQifQ=="/>
  </w:docVars>
  <w:rsids>
    <w:rsidRoot w:val="2CC758DF"/>
    <w:rsid w:val="00533C0F"/>
    <w:rsid w:val="02BD63C9"/>
    <w:rsid w:val="04161524"/>
    <w:rsid w:val="0DD472DA"/>
    <w:rsid w:val="0DEC061E"/>
    <w:rsid w:val="0E35459A"/>
    <w:rsid w:val="18EA5CF6"/>
    <w:rsid w:val="1A361CF4"/>
    <w:rsid w:val="1AE96143"/>
    <w:rsid w:val="202D6670"/>
    <w:rsid w:val="24772DE1"/>
    <w:rsid w:val="279A56C8"/>
    <w:rsid w:val="2CC758DF"/>
    <w:rsid w:val="2E174A9B"/>
    <w:rsid w:val="2F982CAB"/>
    <w:rsid w:val="357165A2"/>
    <w:rsid w:val="366A0CD1"/>
    <w:rsid w:val="36802329"/>
    <w:rsid w:val="369C2044"/>
    <w:rsid w:val="370129E3"/>
    <w:rsid w:val="37B436C1"/>
    <w:rsid w:val="38FB7F5C"/>
    <w:rsid w:val="3957034E"/>
    <w:rsid w:val="39C20982"/>
    <w:rsid w:val="4047081D"/>
    <w:rsid w:val="416B24F4"/>
    <w:rsid w:val="44BF3C00"/>
    <w:rsid w:val="477F64F9"/>
    <w:rsid w:val="4CB41768"/>
    <w:rsid w:val="4CE22005"/>
    <w:rsid w:val="4D893C0E"/>
    <w:rsid w:val="4D9117CC"/>
    <w:rsid w:val="4F041DA9"/>
    <w:rsid w:val="4F567710"/>
    <w:rsid w:val="514A3302"/>
    <w:rsid w:val="523E4DA9"/>
    <w:rsid w:val="52800CFD"/>
    <w:rsid w:val="52923035"/>
    <w:rsid w:val="569D102A"/>
    <w:rsid w:val="5D8467D7"/>
    <w:rsid w:val="623164DE"/>
    <w:rsid w:val="65D41B30"/>
    <w:rsid w:val="69B07B1E"/>
    <w:rsid w:val="6B5B3B2D"/>
    <w:rsid w:val="6F9D084C"/>
    <w:rsid w:val="75225B3D"/>
    <w:rsid w:val="780F0F07"/>
    <w:rsid w:val="7825797A"/>
    <w:rsid w:val="7A7D6744"/>
    <w:rsid w:val="7E710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jc w:val="center"/>
      <w:outlineLvl w:val="0"/>
    </w:pPr>
    <w:rPr>
      <w:rFonts w:eastAsia="方正小标宋简体" w:asciiTheme="minorAscii" w:hAnsiTheme="minorAscii"/>
      <w:kern w:val="44"/>
      <w:sz w:val="44"/>
      <w:szCs w:val="22"/>
    </w:rPr>
  </w:style>
  <w:style w:type="paragraph" w:styleId="3">
    <w:name w:val="heading 2"/>
    <w:basedOn w:val="1"/>
    <w:next w:val="1"/>
    <w:qFormat/>
    <w:uiPriority w:val="0"/>
    <w:pPr>
      <w:keepNext/>
      <w:keepLines/>
      <w:widowControl/>
      <w:spacing w:before="260" w:after="260" w:line="415" w:lineRule="auto"/>
      <w:jc w:val="center"/>
      <w:outlineLvl w:val="1"/>
    </w:pPr>
    <w:rPr>
      <w:rFonts w:ascii="Arial" w:hAnsi="Arial" w:eastAsia="黑体"/>
      <w:b/>
      <w:kern w:val="0"/>
      <w:sz w:val="36"/>
      <w:szCs w:val="20"/>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rFonts w:ascii="宋体"/>
      <w:b/>
      <w:sz w:val="32"/>
    </w:rPr>
  </w:style>
  <w:style w:type="character" w:default="1" w:styleId="15">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5">
    <w:name w:val="Salutation"/>
    <w:basedOn w:val="1"/>
    <w:next w:val="1"/>
    <w:autoRedefine/>
    <w:qFormat/>
    <w:uiPriority w:val="0"/>
    <w:rPr>
      <w:rFonts w:ascii="仿宋_GB2312" w:eastAsia="仿宋_GB2312"/>
      <w:sz w:val="28"/>
      <w:szCs w:val="20"/>
    </w:rPr>
  </w:style>
  <w:style w:type="paragraph" w:styleId="6">
    <w:name w:val="Body Text Indent"/>
    <w:basedOn w:val="1"/>
    <w:next w:val="7"/>
    <w:autoRedefine/>
    <w:qFormat/>
    <w:uiPriority w:val="0"/>
    <w:pPr>
      <w:spacing w:line="360" w:lineRule="auto"/>
      <w:ind w:firstLine="600" w:firstLineChars="250"/>
    </w:pPr>
    <w:rPr>
      <w:rFonts w:ascii="宋体" w:hAnsi="宋体"/>
      <w:sz w:val="24"/>
    </w:rPr>
  </w:style>
  <w:style w:type="paragraph" w:styleId="7">
    <w:name w:val="envelope return"/>
    <w:basedOn w:val="1"/>
    <w:autoRedefine/>
    <w:qFormat/>
    <w:uiPriority w:val="0"/>
    <w:pPr>
      <w:widowControl/>
    </w:pPr>
    <w:rPr>
      <w:kern w:val="0"/>
      <w:sz w:val="22"/>
      <w:szCs w:val="20"/>
      <w:lang w:val="en-GB" w:eastAsia="en-US"/>
    </w:rPr>
  </w:style>
  <w:style w:type="paragraph" w:styleId="8">
    <w:name w:val="Plain Text"/>
    <w:basedOn w:val="1"/>
    <w:qFormat/>
    <w:uiPriority w:val="99"/>
    <w:rPr>
      <w:rFonts w:ascii="宋体"/>
      <w:szCs w:val="20"/>
    </w:rPr>
  </w:style>
  <w:style w:type="paragraph" w:styleId="9">
    <w:name w:val="Date"/>
    <w:basedOn w:val="1"/>
    <w:next w:val="1"/>
    <w:qFormat/>
    <w:uiPriority w:val="0"/>
    <w:pPr>
      <w:widowControl/>
      <w:spacing w:before="100" w:beforeAutospacing="1" w:after="100" w:afterAutospacing="1"/>
      <w:jc w:val="left"/>
    </w:pPr>
    <w:rPr>
      <w:rFonts w:ascii="宋体" w:hAnsi="宋体"/>
      <w:kern w:val="0"/>
      <w:sz w:val="24"/>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6"/>
    <w:autoRedefine/>
    <w:qFormat/>
    <w:uiPriority w:val="0"/>
    <w:pPr>
      <w:spacing w:before="0" w:after="120" w:line="240" w:lineRule="auto"/>
      <w:ind w:left="420" w:firstLine="0" w:firstLineChars="0"/>
    </w:pPr>
    <w:rPr>
      <w:rFonts w:ascii="Times New Roman" w:hAnsi="Times New Roman"/>
      <w:szCs w:val="20"/>
    </w:rPr>
  </w:style>
  <w:style w:type="character" w:styleId="16">
    <w:name w:val="Strong"/>
    <w:basedOn w:val="15"/>
    <w:qFormat/>
    <w:uiPriority w:val="0"/>
    <w:rPr>
      <w:b/>
    </w:rPr>
  </w:style>
  <w:style w:type="character" w:styleId="17">
    <w:name w:val="page number"/>
    <w:qFormat/>
    <w:uiPriority w:val="0"/>
  </w:style>
  <w:style w:type="character" w:styleId="18">
    <w:name w:val="Hyperlink"/>
    <w:basedOn w:val="15"/>
    <w:qFormat/>
    <w:uiPriority w:val="0"/>
    <w:rPr>
      <w:color w:val="0000FF"/>
      <w:u w:val="single"/>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4"/>
      <w:szCs w:val="24"/>
      <w:lang w:val="en-US" w:eastAsia="en-US" w:bidi="ar-SA"/>
    </w:rPr>
  </w:style>
  <w:style w:type="paragraph" w:customStyle="1" w:styleId="21">
    <w:name w:val="D&amp;L"/>
    <w:basedOn w:val="11"/>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22">
    <w:name w:val="正文_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2632</Words>
  <Characters>2763</Characters>
  <Lines>0</Lines>
  <Paragraphs>0</Paragraphs>
  <TotalTime>3</TotalTime>
  <ScaleCrop>false</ScaleCrop>
  <LinksUpToDate>false</LinksUpToDate>
  <CharactersWithSpaces>2800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2024-05-09T01:10:00Z</dcterms:created>
  <dc:creator>丰文涛</dc:creator>
  <cp:lastModifiedBy>李富强</cp:lastModifiedBy>
  <cp:lastPrinted>2026-07-22T01:20:00Z</cp:lastPrinted>
  <dcterms:modified xsi:type="dcterms:W3CDTF">2026-08-03T06:31:19Z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1FEA1DC9DAA74F61A712C631A4FD5BA4_13</vt:lpwstr>
  </property>
  <property fmtid="{D5CDD505-2E9C-101B-9397-08002B2CF9AE}" pid="4" name="KSOTemplateDocerSaveRecord">
    <vt:lpwstr>eyJoZGlkIjoiMTg1YTdmMDJiMzUzMTYyNzhlMTUxODlhOWE3MTIxNGIiLCJ1c2VySWQiOiI0MjA4MTQ2MTEifQ==</vt:lpwstr>
  </property>
</Properties>
</file>